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Times New Roman" w:hAnsi="Times New Roman" w:eastAsia="仿宋"/>
          <w:b/>
          <w:sz w:val="52"/>
          <w:szCs w:val="52"/>
        </w:rPr>
      </w:pPr>
    </w:p>
    <w:p>
      <w:pPr>
        <w:jc w:val="center"/>
        <w:rPr>
          <w:rFonts w:ascii="Times New Roman" w:hAnsi="Times New Roman" w:eastAsia="仿宋"/>
          <w:b/>
          <w:sz w:val="52"/>
          <w:szCs w:val="52"/>
        </w:rPr>
      </w:pPr>
    </w:p>
    <w:p>
      <w:pPr>
        <w:jc w:val="center"/>
        <w:rPr>
          <w:rFonts w:ascii="Times New Roman" w:hAnsi="Times New Roman" w:eastAsia="仿宋"/>
          <w:b/>
          <w:sz w:val="52"/>
          <w:szCs w:val="52"/>
        </w:rPr>
      </w:pPr>
    </w:p>
    <w:p>
      <w:pPr>
        <w:adjustRightInd w:val="0"/>
        <w:snapToGrid w:val="0"/>
        <w:spacing w:line="360" w:lineRule="auto"/>
        <w:jc w:val="center"/>
        <w:rPr>
          <w:rFonts w:ascii="仿宋" w:hAnsi="仿宋" w:eastAsia="仿宋" w:cs="仿宋"/>
          <w:b/>
          <w:sz w:val="36"/>
          <w:szCs w:val="36"/>
        </w:rPr>
      </w:pPr>
      <w:r>
        <w:rPr>
          <w:rFonts w:hint="eastAsia" w:ascii="仿宋" w:hAnsi="仿宋" w:eastAsia="仿宋" w:cs="仿宋"/>
          <w:b/>
          <w:sz w:val="36"/>
          <w:szCs w:val="36"/>
        </w:rPr>
        <w:t>双狮（张家港）精细化工有限公司</w:t>
      </w:r>
    </w:p>
    <w:p>
      <w:pPr>
        <w:adjustRightInd w:val="0"/>
        <w:snapToGrid w:val="0"/>
        <w:spacing w:line="360" w:lineRule="auto"/>
        <w:jc w:val="center"/>
        <w:rPr>
          <w:rFonts w:ascii="仿宋" w:hAnsi="仿宋" w:eastAsia="仿宋" w:cs="仿宋"/>
          <w:b/>
          <w:sz w:val="36"/>
          <w:szCs w:val="36"/>
        </w:rPr>
      </w:pPr>
      <w:r>
        <w:rPr>
          <w:rFonts w:hint="eastAsia" w:ascii="仿宋" w:hAnsi="仿宋" w:eastAsia="仿宋" w:cs="仿宋"/>
          <w:b/>
          <w:sz w:val="36"/>
          <w:szCs w:val="36"/>
        </w:rPr>
        <w:t>2020年度土壤及地下水环境质量自行监测方案</w:t>
      </w:r>
    </w:p>
    <w:p>
      <w:pPr>
        <w:jc w:val="center"/>
        <w:rPr>
          <w:rFonts w:ascii="Times New Roman" w:hAnsi="Times New Roman" w:eastAsia="仿宋"/>
          <w:b/>
          <w:sz w:val="52"/>
          <w:szCs w:val="52"/>
        </w:rPr>
      </w:pPr>
    </w:p>
    <w:p>
      <w:pPr>
        <w:jc w:val="center"/>
        <w:rPr>
          <w:rFonts w:ascii="Times New Roman" w:hAnsi="Times New Roman" w:eastAsia="仿宋"/>
          <w:b/>
          <w:sz w:val="52"/>
          <w:szCs w:val="52"/>
        </w:rPr>
      </w:pPr>
    </w:p>
    <w:p>
      <w:pPr>
        <w:jc w:val="center"/>
        <w:rPr>
          <w:rFonts w:ascii="Times New Roman" w:hAnsi="Times New Roman" w:eastAsia="仿宋"/>
          <w:b/>
          <w:sz w:val="52"/>
          <w:szCs w:val="52"/>
        </w:rPr>
      </w:pPr>
    </w:p>
    <w:p>
      <w:pPr>
        <w:jc w:val="center"/>
        <w:rPr>
          <w:rFonts w:ascii="Times New Roman" w:hAnsi="Times New Roman" w:eastAsia="仿宋"/>
          <w:b/>
          <w:sz w:val="52"/>
          <w:szCs w:val="52"/>
        </w:rPr>
      </w:pPr>
    </w:p>
    <w:p>
      <w:pPr>
        <w:jc w:val="center"/>
        <w:rPr>
          <w:rFonts w:ascii="Times New Roman" w:hAnsi="Times New Roman" w:eastAsia="仿宋"/>
          <w:b/>
          <w:sz w:val="52"/>
          <w:szCs w:val="52"/>
        </w:rPr>
      </w:pPr>
    </w:p>
    <w:p>
      <w:pPr>
        <w:jc w:val="center"/>
        <w:rPr>
          <w:rFonts w:ascii="Times New Roman" w:hAnsi="Times New Roman" w:eastAsia="仿宋"/>
          <w:b/>
          <w:sz w:val="52"/>
          <w:szCs w:val="52"/>
        </w:rPr>
      </w:pPr>
    </w:p>
    <w:p>
      <w:pPr>
        <w:jc w:val="center"/>
        <w:rPr>
          <w:rFonts w:ascii="Times New Roman" w:hAnsi="Times New Roman" w:eastAsia="仿宋"/>
          <w:b/>
          <w:sz w:val="52"/>
          <w:szCs w:val="52"/>
        </w:rPr>
      </w:pPr>
    </w:p>
    <w:p>
      <w:pPr>
        <w:jc w:val="center"/>
        <w:rPr>
          <w:rFonts w:ascii="Times New Roman" w:hAnsi="Times New Roman" w:eastAsia="仿宋"/>
          <w:b/>
          <w:sz w:val="52"/>
          <w:szCs w:val="52"/>
        </w:rPr>
      </w:pPr>
    </w:p>
    <w:p>
      <w:pPr>
        <w:jc w:val="center"/>
        <w:rPr>
          <w:rFonts w:ascii="Times New Roman" w:hAnsi="Times New Roman" w:eastAsia="仿宋"/>
          <w:b/>
          <w:sz w:val="52"/>
          <w:szCs w:val="52"/>
        </w:rPr>
      </w:pPr>
    </w:p>
    <w:p>
      <w:pPr>
        <w:jc w:val="center"/>
        <w:rPr>
          <w:rFonts w:ascii="Times New Roman" w:hAnsi="Times New Roman" w:eastAsia="仿宋"/>
          <w:b/>
          <w:sz w:val="52"/>
          <w:szCs w:val="52"/>
        </w:rPr>
      </w:pPr>
    </w:p>
    <w:p>
      <w:pPr>
        <w:jc w:val="center"/>
        <w:rPr>
          <w:rFonts w:ascii="仿宋_GB2312" w:eastAsia="仿宋_GB2312"/>
          <w:b/>
          <w:sz w:val="32"/>
          <w:szCs w:val="32"/>
        </w:rPr>
      </w:pPr>
      <w:r>
        <w:rPr>
          <w:rFonts w:hint="eastAsia" w:ascii="仿宋_GB2312" w:eastAsia="仿宋_GB2312"/>
          <w:b/>
          <w:sz w:val="32"/>
          <w:szCs w:val="32"/>
        </w:rPr>
        <w:t>项目委托单位：双狮（张家港）精细化工有限公司</w:t>
      </w:r>
    </w:p>
    <w:p>
      <w:pPr>
        <w:jc w:val="center"/>
        <w:rPr>
          <w:rFonts w:ascii="仿宋_GB2312" w:eastAsia="仿宋_GB2312"/>
          <w:b/>
          <w:sz w:val="32"/>
          <w:szCs w:val="32"/>
        </w:rPr>
      </w:pPr>
      <w:r>
        <w:rPr>
          <w:rFonts w:hint="eastAsia" w:ascii="仿宋_GB2312" w:eastAsia="仿宋_GB2312"/>
          <w:b/>
          <w:sz w:val="32"/>
          <w:szCs w:val="32"/>
        </w:rPr>
        <w:t>项目承担单位：苏州国宇环境科技有限公司</w:t>
      </w:r>
    </w:p>
    <w:p>
      <w:pPr>
        <w:jc w:val="center"/>
        <w:rPr>
          <w:rFonts w:ascii="Times New Roman" w:hAnsi="Times New Roman" w:eastAsia="仿宋"/>
          <w:b/>
          <w:sz w:val="52"/>
          <w:szCs w:val="52"/>
        </w:rPr>
      </w:pPr>
      <w:r>
        <w:rPr>
          <w:rFonts w:hint="eastAsia" w:ascii="仿宋_GB2312" w:eastAsia="仿宋_GB2312"/>
          <w:b/>
          <w:sz w:val="32"/>
          <w:szCs w:val="32"/>
        </w:rPr>
        <w:t>二</w:t>
      </w:r>
      <w:r>
        <w:rPr>
          <w:rFonts w:hint="eastAsia" w:ascii="微软雅黑" w:hAnsi="微软雅黑" w:eastAsia="微软雅黑" w:cs="微软雅黑"/>
          <w:sz w:val="32"/>
          <w:szCs w:val="32"/>
        </w:rPr>
        <w:t>〇</w:t>
      </w:r>
      <w:r>
        <w:rPr>
          <w:rFonts w:hint="eastAsia" w:ascii="仿宋_GB2312" w:eastAsia="仿宋_GB2312"/>
          <w:b/>
          <w:sz w:val="32"/>
          <w:szCs w:val="32"/>
        </w:rPr>
        <w:t>二</w:t>
      </w:r>
      <w:r>
        <w:rPr>
          <w:rFonts w:hint="eastAsia" w:ascii="微软雅黑" w:hAnsi="微软雅黑" w:eastAsia="微软雅黑" w:cs="微软雅黑"/>
          <w:sz w:val="32"/>
          <w:szCs w:val="32"/>
        </w:rPr>
        <w:t>〇</w:t>
      </w:r>
      <w:r>
        <w:rPr>
          <w:rFonts w:hint="eastAsia" w:ascii="仿宋_GB2312" w:hAnsi="仿宋_GB2312" w:eastAsia="仿宋_GB2312" w:cs="仿宋_GB2312"/>
          <w:b/>
          <w:sz w:val="32"/>
          <w:szCs w:val="32"/>
        </w:rPr>
        <w:t>年</w:t>
      </w:r>
      <w:r>
        <w:rPr>
          <w:rFonts w:hint="eastAsia" w:ascii="仿宋_GB2312" w:hAnsi="仿宋_GB2312" w:eastAsia="仿宋_GB2312" w:cs="仿宋_GB2312"/>
          <w:b/>
          <w:sz w:val="32"/>
          <w:szCs w:val="32"/>
          <w:lang w:val="en-US" w:eastAsia="zh-CN"/>
        </w:rPr>
        <w:t>十</w:t>
      </w:r>
      <w:r>
        <w:rPr>
          <w:rFonts w:hint="eastAsia" w:ascii="仿宋_GB2312" w:hAnsi="仿宋_GB2312" w:eastAsia="仿宋_GB2312" w:cs="仿宋_GB2312"/>
          <w:b/>
          <w:sz w:val="32"/>
          <w:szCs w:val="32"/>
        </w:rPr>
        <w:t>月</w:t>
      </w:r>
    </w:p>
    <w:p>
      <w:pPr>
        <w:jc w:val="center"/>
        <w:rPr>
          <w:rFonts w:ascii="Times New Roman" w:hAnsi="Times New Roman" w:eastAsia="仿宋"/>
          <w:b/>
          <w:sz w:val="52"/>
          <w:szCs w:val="52"/>
        </w:rPr>
      </w:pPr>
    </w:p>
    <w:p>
      <w:pPr>
        <w:jc w:val="center"/>
        <w:rPr>
          <w:rFonts w:ascii="Times New Roman" w:hAnsi="Times New Roman" w:eastAsia="仿宋"/>
          <w:b/>
          <w:sz w:val="32"/>
          <w:szCs w:val="32"/>
        </w:rPr>
      </w:pPr>
    </w:p>
    <w:p>
      <w:pPr>
        <w:rPr>
          <w:rFonts w:ascii="Times New Roman" w:hAnsi="Times New Roman" w:eastAsia="仿宋"/>
          <w:b/>
          <w:sz w:val="32"/>
          <w:szCs w:val="32"/>
        </w:rPr>
      </w:pPr>
    </w:p>
    <w:p>
      <w:pPr>
        <w:rPr>
          <w:rFonts w:ascii="Times New Roman" w:hAnsi="Times New Roman" w:eastAsia="仿宋"/>
          <w:b/>
          <w:sz w:val="32"/>
          <w:szCs w:val="32"/>
        </w:rPr>
      </w:pPr>
    </w:p>
    <w:sdt>
      <w:sdtPr>
        <w:rPr>
          <w:rFonts w:ascii="宋体" w:hAnsi="宋体"/>
          <w:b/>
          <w:bCs/>
          <w:sz w:val="30"/>
          <w:szCs w:val="30"/>
        </w:rPr>
        <w:id w:val="147473669"/>
        <w:docPartObj>
          <w:docPartGallery w:val="Table of Contents"/>
          <w:docPartUnique/>
        </w:docPartObj>
      </w:sdtPr>
      <w:sdtEndPr>
        <w:rPr>
          <w:rFonts w:ascii="Times New Roman" w:hAnsi="Times New Roman" w:eastAsia="仿宋"/>
          <w:b/>
          <w:bCs/>
          <w:sz w:val="24"/>
          <w:szCs w:val="24"/>
        </w:rPr>
      </w:sdtEndPr>
      <w:sdtContent>
        <w:p>
          <w:pPr>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rPr>
            <w:t>目</w:t>
          </w:r>
          <w:r>
            <w:rPr>
              <w:rFonts w:hint="eastAsia" w:ascii="仿宋" w:hAnsi="仿宋" w:eastAsia="仿宋" w:cs="仿宋"/>
              <w:b/>
              <w:bCs/>
              <w:sz w:val="30"/>
              <w:szCs w:val="30"/>
              <w:lang w:val="en-US" w:eastAsia="zh-CN"/>
            </w:rPr>
            <w:t xml:space="preserve">  </w:t>
          </w:r>
          <w:r>
            <w:rPr>
              <w:rFonts w:hint="eastAsia" w:ascii="仿宋" w:hAnsi="仿宋" w:eastAsia="仿宋" w:cs="仿宋"/>
              <w:b/>
              <w:bCs/>
              <w:sz w:val="30"/>
              <w:szCs w:val="30"/>
            </w:rPr>
            <w:t>录</w:t>
          </w:r>
        </w:p>
        <w:p>
          <w:pPr>
            <w:pStyle w:val="27"/>
            <w:tabs>
              <w:tab w:val="right" w:leader="dot" w:pos="8220"/>
            </w:tabs>
            <w:spacing w:line="360" w:lineRule="auto"/>
            <w:rPr>
              <w:rFonts w:hint="eastAsia" w:ascii="仿宋" w:hAnsi="仿宋" w:eastAsia="仿宋" w:cs="仿宋"/>
              <w:sz w:val="24"/>
              <w:szCs w:val="24"/>
            </w:rPr>
          </w:pPr>
          <w:r>
            <w:rPr>
              <w:rFonts w:hint="eastAsia" w:ascii="仿宋" w:hAnsi="仿宋" w:eastAsia="仿宋" w:cs="仿宋"/>
              <w:kern w:val="0"/>
              <w:sz w:val="24"/>
              <w:szCs w:val="24"/>
            </w:rPr>
            <w:fldChar w:fldCharType="begin"/>
          </w:r>
          <w:r>
            <w:rPr>
              <w:rFonts w:hint="eastAsia" w:ascii="仿宋" w:hAnsi="仿宋" w:eastAsia="仿宋" w:cs="仿宋"/>
              <w:sz w:val="24"/>
              <w:szCs w:val="24"/>
            </w:rPr>
            <w:instrText xml:space="preserve">TOC \o "1-3" \h \u </w:instrText>
          </w:r>
          <w:r>
            <w:rPr>
              <w:rFonts w:hint="eastAsia" w:ascii="仿宋" w:hAnsi="仿宋" w:eastAsia="仿宋" w:cs="仿宋"/>
              <w:kern w:val="0"/>
              <w:sz w:val="24"/>
              <w:szCs w:val="24"/>
            </w:rPr>
            <w:fldChar w:fldCharType="separate"/>
          </w:r>
          <w:r>
            <w:rPr>
              <w:rFonts w:hint="eastAsia" w:ascii="仿宋" w:hAnsi="仿宋" w:eastAsia="仿宋" w:cs="仿宋"/>
              <w:kern w:val="0"/>
              <w:sz w:val="24"/>
              <w:szCs w:val="24"/>
            </w:rPr>
            <w:fldChar w:fldCharType="begin"/>
          </w:r>
          <w:r>
            <w:rPr>
              <w:rFonts w:hint="eastAsia" w:ascii="仿宋" w:hAnsi="仿宋" w:eastAsia="仿宋" w:cs="仿宋"/>
              <w:kern w:val="0"/>
              <w:sz w:val="24"/>
              <w:szCs w:val="24"/>
            </w:rPr>
            <w:instrText xml:space="preserve"> HYPERLINK \l _Toc9339 </w:instrText>
          </w:r>
          <w:r>
            <w:rPr>
              <w:rFonts w:hint="eastAsia" w:ascii="仿宋" w:hAnsi="仿宋" w:eastAsia="仿宋" w:cs="仿宋"/>
              <w:kern w:val="0"/>
              <w:sz w:val="24"/>
              <w:szCs w:val="24"/>
            </w:rPr>
            <w:fldChar w:fldCharType="separate"/>
          </w:r>
          <w:r>
            <w:rPr>
              <w:rFonts w:hint="eastAsia" w:ascii="仿宋" w:hAnsi="仿宋" w:eastAsia="仿宋" w:cs="仿宋"/>
              <w:sz w:val="24"/>
              <w:szCs w:val="24"/>
            </w:rPr>
            <w:t>第一章 项目概述</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_Toc9339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kern w:val="0"/>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_Toc4353 </w:instrText>
          </w:r>
          <w:r>
            <w:rPr>
              <w:rFonts w:hint="eastAsia" w:ascii="仿宋" w:hAnsi="仿宋" w:eastAsia="仿宋" w:cs="仿宋"/>
              <w:sz w:val="24"/>
              <w:szCs w:val="24"/>
            </w:rPr>
            <w:fldChar w:fldCharType="separate"/>
          </w:r>
          <w:r>
            <w:rPr>
              <w:rFonts w:hint="eastAsia" w:ascii="仿宋" w:hAnsi="仿宋" w:eastAsia="仿宋" w:cs="仿宋"/>
              <w:sz w:val="24"/>
              <w:szCs w:val="24"/>
            </w:rPr>
            <w:t>1.1 项目背景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_Toc4353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_Toc21115 </w:instrText>
          </w:r>
          <w:r>
            <w:rPr>
              <w:rFonts w:hint="eastAsia" w:ascii="仿宋" w:hAnsi="仿宋" w:eastAsia="仿宋" w:cs="仿宋"/>
              <w:sz w:val="24"/>
              <w:szCs w:val="24"/>
            </w:rPr>
            <w:fldChar w:fldCharType="separate"/>
          </w:r>
          <w:r>
            <w:rPr>
              <w:rFonts w:hint="eastAsia" w:ascii="仿宋" w:hAnsi="仿宋" w:eastAsia="仿宋" w:cs="仿宋"/>
              <w:sz w:val="24"/>
              <w:szCs w:val="24"/>
            </w:rPr>
            <w:t>1.2 监测原则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_Toc21115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_Toc7129 </w:instrText>
          </w:r>
          <w:r>
            <w:rPr>
              <w:rFonts w:hint="eastAsia" w:ascii="仿宋" w:hAnsi="仿宋" w:eastAsia="仿宋" w:cs="仿宋"/>
              <w:sz w:val="24"/>
              <w:szCs w:val="24"/>
            </w:rPr>
            <w:fldChar w:fldCharType="separate"/>
          </w:r>
          <w:r>
            <w:rPr>
              <w:rFonts w:hint="eastAsia" w:ascii="仿宋" w:hAnsi="仿宋" w:eastAsia="仿宋" w:cs="仿宋"/>
              <w:sz w:val="24"/>
              <w:szCs w:val="24"/>
            </w:rPr>
            <w:t>1.3 监测范围</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_Toc7129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_Toc28043 </w:instrText>
          </w:r>
          <w:r>
            <w:rPr>
              <w:rFonts w:hint="eastAsia" w:ascii="仿宋" w:hAnsi="仿宋" w:eastAsia="仿宋" w:cs="仿宋"/>
              <w:sz w:val="24"/>
              <w:szCs w:val="24"/>
            </w:rPr>
            <w:fldChar w:fldCharType="separate"/>
          </w:r>
          <w:r>
            <w:rPr>
              <w:rFonts w:hint="eastAsia" w:ascii="仿宋" w:hAnsi="仿宋" w:eastAsia="仿宋" w:cs="仿宋"/>
              <w:sz w:val="24"/>
              <w:szCs w:val="24"/>
            </w:rPr>
            <w:t>1.4 监测依据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_Toc28043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_Toc10625 </w:instrText>
          </w:r>
          <w:r>
            <w:rPr>
              <w:rFonts w:hint="eastAsia" w:ascii="仿宋" w:hAnsi="仿宋" w:eastAsia="仿宋" w:cs="仿宋"/>
              <w:sz w:val="24"/>
              <w:szCs w:val="24"/>
            </w:rPr>
            <w:fldChar w:fldCharType="separate"/>
          </w:r>
          <w:r>
            <w:rPr>
              <w:rFonts w:hint="eastAsia" w:ascii="仿宋" w:hAnsi="仿宋" w:eastAsia="仿宋" w:cs="仿宋"/>
              <w:sz w:val="24"/>
              <w:szCs w:val="24"/>
            </w:rPr>
            <w:t>1.4.1 法律、法规及相关政策</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_Toc10625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_Toc29482 </w:instrText>
          </w:r>
          <w:r>
            <w:rPr>
              <w:rFonts w:hint="eastAsia" w:ascii="仿宋" w:hAnsi="仿宋" w:eastAsia="仿宋" w:cs="仿宋"/>
              <w:sz w:val="24"/>
              <w:szCs w:val="24"/>
            </w:rPr>
            <w:fldChar w:fldCharType="separate"/>
          </w:r>
          <w:r>
            <w:rPr>
              <w:rFonts w:hint="eastAsia" w:ascii="仿宋" w:hAnsi="仿宋" w:eastAsia="仿宋" w:cs="仿宋"/>
              <w:sz w:val="24"/>
              <w:szCs w:val="24"/>
            </w:rPr>
            <w:t>1.4.2 技术导则、标准及规范</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_Toc29482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_Toc11136 </w:instrText>
          </w:r>
          <w:r>
            <w:rPr>
              <w:rFonts w:hint="eastAsia" w:ascii="仿宋" w:hAnsi="仿宋" w:eastAsia="仿宋" w:cs="仿宋"/>
              <w:sz w:val="24"/>
              <w:szCs w:val="24"/>
            </w:rPr>
            <w:fldChar w:fldCharType="separate"/>
          </w:r>
          <w:r>
            <w:rPr>
              <w:rFonts w:hint="eastAsia" w:ascii="仿宋" w:hAnsi="仿宋" w:eastAsia="仿宋" w:cs="仿宋"/>
              <w:sz w:val="24"/>
              <w:szCs w:val="24"/>
            </w:rPr>
            <w:t>1.4.3 其他相关文件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_Toc11136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_Toc22719 </w:instrText>
          </w:r>
          <w:r>
            <w:rPr>
              <w:rFonts w:hint="eastAsia" w:ascii="仿宋" w:hAnsi="仿宋" w:eastAsia="仿宋" w:cs="仿宋"/>
              <w:sz w:val="24"/>
              <w:szCs w:val="24"/>
            </w:rPr>
            <w:fldChar w:fldCharType="separate"/>
          </w:r>
          <w:r>
            <w:rPr>
              <w:rFonts w:hint="eastAsia" w:ascii="仿宋" w:hAnsi="仿宋" w:eastAsia="仿宋" w:cs="仿宋"/>
              <w:sz w:val="24"/>
              <w:szCs w:val="24"/>
            </w:rPr>
            <w:t>1.5 调查目的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_Toc22719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_Toc19377 </w:instrText>
          </w:r>
          <w:r>
            <w:rPr>
              <w:rFonts w:hint="eastAsia" w:ascii="仿宋" w:hAnsi="仿宋" w:eastAsia="仿宋" w:cs="仿宋"/>
              <w:sz w:val="24"/>
              <w:szCs w:val="24"/>
            </w:rPr>
            <w:fldChar w:fldCharType="separate"/>
          </w:r>
          <w:r>
            <w:rPr>
              <w:rFonts w:hint="eastAsia" w:ascii="仿宋" w:hAnsi="仿宋" w:eastAsia="仿宋" w:cs="仿宋"/>
              <w:bCs/>
              <w:sz w:val="24"/>
              <w:szCs w:val="24"/>
            </w:rPr>
            <w:t>1.6 技术路线</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_Toc19377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7"/>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_Toc19071 </w:instrText>
          </w:r>
          <w:r>
            <w:rPr>
              <w:rFonts w:hint="eastAsia" w:ascii="仿宋" w:hAnsi="仿宋" w:eastAsia="仿宋" w:cs="仿宋"/>
              <w:sz w:val="24"/>
              <w:szCs w:val="24"/>
            </w:rPr>
            <w:fldChar w:fldCharType="separate"/>
          </w:r>
          <w:r>
            <w:rPr>
              <w:rFonts w:hint="eastAsia" w:ascii="仿宋" w:hAnsi="仿宋" w:eastAsia="仿宋" w:cs="仿宋"/>
              <w:sz w:val="24"/>
              <w:szCs w:val="24"/>
            </w:rPr>
            <w:t>第二章 场地概况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_Toc19071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_Toc12307 </w:instrText>
          </w:r>
          <w:r>
            <w:rPr>
              <w:rFonts w:hint="eastAsia" w:ascii="仿宋" w:hAnsi="仿宋" w:eastAsia="仿宋" w:cs="仿宋"/>
              <w:sz w:val="24"/>
              <w:szCs w:val="24"/>
            </w:rPr>
            <w:fldChar w:fldCharType="separate"/>
          </w:r>
          <w:r>
            <w:rPr>
              <w:rFonts w:hint="eastAsia" w:ascii="仿宋" w:hAnsi="仿宋" w:eastAsia="仿宋" w:cs="仿宋"/>
              <w:sz w:val="24"/>
              <w:szCs w:val="24"/>
            </w:rPr>
            <w:t>2.1 场地环境概况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_Toc12307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_Toc24201 </w:instrText>
          </w:r>
          <w:r>
            <w:rPr>
              <w:rFonts w:hint="eastAsia" w:ascii="仿宋" w:hAnsi="仿宋" w:eastAsia="仿宋" w:cs="仿宋"/>
              <w:sz w:val="24"/>
              <w:szCs w:val="24"/>
            </w:rPr>
            <w:fldChar w:fldCharType="separate"/>
          </w:r>
          <w:r>
            <w:rPr>
              <w:rFonts w:hint="eastAsia" w:ascii="仿宋" w:hAnsi="仿宋" w:eastAsia="仿宋" w:cs="仿宋"/>
              <w:sz w:val="24"/>
              <w:szCs w:val="24"/>
            </w:rPr>
            <w:t>2.1.1 地理位置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_Toc24201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_Toc26117 </w:instrText>
          </w:r>
          <w:r>
            <w:rPr>
              <w:rFonts w:hint="eastAsia" w:ascii="仿宋" w:hAnsi="仿宋" w:eastAsia="仿宋" w:cs="仿宋"/>
              <w:sz w:val="24"/>
              <w:szCs w:val="24"/>
            </w:rPr>
            <w:fldChar w:fldCharType="separate"/>
          </w:r>
          <w:r>
            <w:rPr>
              <w:rFonts w:hint="eastAsia" w:ascii="仿宋" w:hAnsi="仿宋" w:eastAsia="仿宋" w:cs="仿宋"/>
              <w:sz w:val="24"/>
              <w:szCs w:val="24"/>
            </w:rPr>
            <w:t>2.1.2 气候气象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_Toc26117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_Toc17837 </w:instrText>
          </w:r>
          <w:r>
            <w:rPr>
              <w:rFonts w:hint="eastAsia" w:ascii="仿宋" w:hAnsi="仿宋" w:eastAsia="仿宋" w:cs="仿宋"/>
              <w:sz w:val="24"/>
              <w:szCs w:val="24"/>
            </w:rPr>
            <w:fldChar w:fldCharType="separate"/>
          </w:r>
          <w:r>
            <w:rPr>
              <w:rFonts w:hint="eastAsia" w:ascii="仿宋" w:hAnsi="仿宋" w:eastAsia="仿宋" w:cs="仿宋"/>
              <w:sz w:val="24"/>
              <w:szCs w:val="24"/>
            </w:rPr>
            <w:t>2.1.3 地形地貌及地质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_Toc17837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_Toc30800 </w:instrText>
          </w:r>
          <w:r>
            <w:rPr>
              <w:rFonts w:hint="eastAsia" w:ascii="仿宋" w:hAnsi="仿宋" w:eastAsia="仿宋" w:cs="仿宋"/>
              <w:sz w:val="24"/>
              <w:szCs w:val="24"/>
            </w:rPr>
            <w:fldChar w:fldCharType="separate"/>
          </w:r>
          <w:r>
            <w:rPr>
              <w:rFonts w:hint="eastAsia" w:ascii="仿宋" w:hAnsi="仿宋" w:eastAsia="仿宋" w:cs="仿宋"/>
              <w:sz w:val="24"/>
              <w:szCs w:val="24"/>
            </w:rPr>
            <w:t>2.1.4 水系及水文特征</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_Toc30800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_Toc4038 </w:instrText>
          </w:r>
          <w:r>
            <w:rPr>
              <w:rFonts w:hint="eastAsia" w:ascii="仿宋" w:hAnsi="仿宋" w:eastAsia="仿宋" w:cs="仿宋"/>
              <w:sz w:val="24"/>
              <w:szCs w:val="24"/>
            </w:rPr>
            <w:fldChar w:fldCharType="separate"/>
          </w:r>
          <w:r>
            <w:rPr>
              <w:rFonts w:hint="eastAsia" w:ascii="仿宋" w:hAnsi="仿宋" w:eastAsia="仿宋" w:cs="仿宋"/>
              <w:sz w:val="24"/>
              <w:szCs w:val="24"/>
            </w:rPr>
            <w:t>2.1.5 生态和自然资源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_Toc4038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_Toc3769 </w:instrText>
          </w:r>
          <w:r>
            <w:rPr>
              <w:rFonts w:hint="eastAsia" w:ascii="仿宋" w:hAnsi="仿宋" w:eastAsia="仿宋" w:cs="仿宋"/>
              <w:sz w:val="24"/>
              <w:szCs w:val="24"/>
            </w:rPr>
            <w:fldChar w:fldCharType="separate"/>
          </w:r>
          <w:r>
            <w:rPr>
              <w:rFonts w:hint="eastAsia" w:ascii="仿宋" w:hAnsi="仿宋" w:eastAsia="仿宋" w:cs="仿宋"/>
              <w:sz w:val="24"/>
              <w:szCs w:val="24"/>
            </w:rPr>
            <w:t>2.2 地理位置及周边敏感目标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_Toc3769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_Toc1934 </w:instrText>
          </w:r>
          <w:r>
            <w:rPr>
              <w:rFonts w:hint="eastAsia" w:ascii="仿宋" w:hAnsi="仿宋" w:eastAsia="仿宋" w:cs="仿宋"/>
              <w:sz w:val="24"/>
              <w:szCs w:val="24"/>
            </w:rPr>
            <w:fldChar w:fldCharType="separate"/>
          </w:r>
          <w:r>
            <w:rPr>
              <w:rFonts w:hint="eastAsia" w:ascii="仿宋" w:hAnsi="仿宋" w:eastAsia="仿宋" w:cs="仿宋"/>
              <w:sz w:val="24"/>
              <w:szCs w:val="24"/>
            </w:rPr>
            <w:t>2.3 厂区平面布置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_Toc1934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_Toc10994 </w:instrText>
          </w:r>
          <w:r>
            <w:rPr>
              <w:rFonts w:hint="eastAsia" w:ascii="仿宋" w:hAnsi="仿宋" w:eastAsia="仿宋" w:cs="仿宋"/>
              <w:sz w:val="24"/>
              <w:szCs w:val="24"/>
            </w:rPr>
            <w:fldChar w:fldCharType="separate"/>
          </w:r>
          <w:r>
            <w:rPr>
              <w:rFonts w:hint="eastAsia" w:ascii="仿宋" w:hAnsi="仿宋" w:eastAsia="仿宋" w:cs="仿宋"/>
              <w:sz w:val="24"/>
              <w:szCs w:val="24"/>
            </w:rPr>
            <w:t>2.4 场地现状及使用历史</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_Toc10994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_Toc2638 </w:instrText>
          </w:r>
          <w:r>
            <w:rPr>
              <w:rFonts w:hint="eastAsia" w:ascii="仿宋" w:hAnsi="仿宋" w:eastAsia="仿宋" w:cs="仿宋"/>
              <w:sz w:val="24"/>
              <w:szCs w:val="24"/>
            </w:rPr>
            <w:fldChar w:fldCharType="separate"/>
          </w:r>
          <w:r>
            <w:rPr>
              <w:rFonts w:hint="eastAsia" w:ascii="仿宋" w:hAnsi="仿宋" w:eastAsia="仿宋" w:cs="仿宋"/>
              <w:sz w:val="24"/>
              <w:szCs w:val="24"/>
            </w:rPr>
            <w:t>2.5 污染物识别</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_Toc2638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_Toc30229 </w:instrText>
          </w:r>
          <w:r>
            <w:rPr>
              <w:rFonts w:hint="eastAsia" w:ascii="仿宋" w:hAnsi="仿宋" w:eastAsia="仿宋" w:cs="仿宋"/>
              <w:sz w:val="24"/>
              <w:szCs w:val="24"/>
            </w:rPr>
            <w:fldChar w:fldCharType="separate"/>
          </w:r>
          <w:r>
            <w:rPr>
              <w:rFonts w:hint="eastAsia" w:ascii="仿宋" w:hAnsi="仿宋" w:eastAsia="仿宋" w:cs="仿宋"/>
              <w:sz w:val="24"/>
              <w:szCs w:val="24"/>
            </w:rPr>
            <w:t>2.5.1 主要产品</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_Toc30229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_Toc8669 </w:instrText>
          </w:r>
          <w:r>
            <w:rPr>
              <w:rFonts w:hint="eastAsia" w:ascii="仿宋" w:hAnsi="仿宋" w:eastAsia="仿宋" w:cs="仿宋"/>
              <w:sz w:val="24"/>
              <w:szCs w:val="24"/>
            </w:rPr>
            <w:fldChar w:fldCharType="separate"/>
          </w:r>
          <w:r>
            <w:rPr>
              <w:rFonts w:hint="eastAsia" w:ascii="仿宋" w:hAnsi="仿宋" w:eastAsia="仿宋" w:cs="仿宋"/>
              <w:sz w:val="24"/>
              <w:szCs w:val="24"/>
            </w:rPr>
            <w:t>2.5.2 主要原辅料</w:t>
          </w:r>
          <w:r>
            <w:rPr>
              <w:rFonts w:hint="eastAsia" w:ascii="仿宋" w:hAnsi="仿宋" w:eastAsia="仿宋" w:cs="仿宋"/>
              <w:sz w:val="24"/>
              <w:szCs w:val="24"/>
              <w:lang w:val="en-US" w:eastAsia="zh-CN"/>
            </w:rPr>
            <w:t>及其理化特性</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_Toc8669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_Toc27420 </w:instrText>
          </w:r>
          <w:r>
            <w:rPr>
              <w:rFonts w:hint="eastAsia" w:ascii="仿宋" w:hAnsi="仿宋" w:eastAsia="仿宋" w:cs="仿宋"/>
              <w:sz w:val="24"/>
              <w:szCs w:val="24"/>
            </w:rPr>
            <w:fldChar w:fldCharType="separate"/>
          </w:r>
          <w:r>
            <w:rPr>
              <w:rFonts w:hint="eastAsia" w:ascii="仿宋" w:hAnsi="仿宋" w:eastAsia="仿宋" w:cs="仿宋"/>
              <w:sz w:val="24"/>
              <w:szCs w:val="24"/>
            </w:rPr>
            <w:t>2.5.3 生产工艺流程及产排污环节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_Toc27420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_Toc7113 </w:instrText>
          </w:r>
          <w:r>
            <w:rPr>
              <w:rFonts w:hint="eastAsia" w:ascii="仿宋" w:hAnsi="仿宋" w:eastAsia="仿宋" w:cs="仿宋"/>
              <w:sz w:val="24"/>
              <w:szCs w:val="24"/>
            </w:rPr>
            <w:fldChar w:fldCharType="separate"/>
          </w:r>
          <w:r>
            <w:rPr>
              <w:rFonts w:hint="eastAsia" w:ascii="仿宋" w:hAnsi="仿宋" w:eastAsia="仿宋" w:cs="仿宋"/>
              <w:sz w:val="24"/>
              <w:szCs w:val="24"/>
            </w:rPr>
            <w:t>2.2.9 三废处理处置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_Toc7113 </w:instrText>
          </w:r>
          <w:r>
            <w:rPr>
              <w:rFonts w:hint="eastAsia" w:ascii="仿宋" w:hAnsi="仿宋" w:eastAsia="仿宋" w:cs="仿宋"/>
              <w:sz w:val="24"/>
              <w:szCs w:val="24"/>
            </w:rPr>
            <w:fldChar w:fldCharType="separate"/>
          </w:r>
          <w:r>
            <w:rPr>
              <w:rFonts w:hint="eastAsia" w:ascii="仿宋" w:hAnsi="仿宋" w:eastAsia="仿宋" w:cs="仿宋"/>
              <w:sz w:val="24"/>
              <w:szCs w:val="24"/>
            </w:rPr>
            <w:t>34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_Toc19952 </w:instrText>
          </w:r>
          <w:r>
            <w:rPr>
              <w:rFonts w:hint="eastAsia" w:ascii="仿宋" w:hAnsi="仿宋" w:eastAsia="仿宋" w:cs="仿宋"/>
              <w:sz w:val="24"/>
              <w:szCs w:val="24"/>
            </w:rPr>
            <w:fldChar w:fldCharType="separate"/>
          </w:r>
          <w:r>
            <w:rPr>
              <w:rFonts w:hint="eastAsia" w:ascii="仿宋" w:hAnsi="仿宋" w:eastAsia="仿宋" w:cs="仿宋"/>
              <w:sz w:val="24"/>
              <w:szCs w:val="24"/>
            </w:rPr>
            <w:t>2.5.5 识别潜在污染因子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_Toc19952 </w:instrText>
          </w:r>
          <w:r>
            <w:rPr>
              <w:rFonts w:hint="eastAsia" w:ascii="仿宋" w:hAnsi="仿宋" w:eastAsia="仿宋" w:cs="仿宋"/>
              <w:sz w:val="24"/>
              <w:szCs w:val="24"/>
            </w:rPr>
            <w:fldChar w:fldCharType="separate"/>
          </w:r>
          <w:r>
            <w:rPr>
              <w:rFonts w:hint="eastAsia" w:ascii="仿宋" w:hAnsi="仿宋" w:eastAsia="仿宋" w:cs="仿宋"/>
              <w:sz w:val="24"/>
              <w:szCs w:val="24"/>
            </w:rPr>
            <w:t>38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7"/>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_Toc28325 </w:instrText>
          </w:r>
          <w:r>
            <w:rPr>
              <w:rFonts w:hint="eastAsia" w:ascii="仿宋" w:hAnsi="仿宋" w:eastAsia="仿宋" w:cs="仿宋"/>
              <w:sz w:val="24"/>
              <w:szCs w:val="24"/>
            </w:rPr>
            <w:fldChar w:fldCharType="separate"/>
          </w:r>
          <w:r>
            <w:rPr>
              <w:rFonts w:hint="eastAsia" w:ascii="仿宋" w:hAnsi="仿宋" w:eastAsia="仿宋" w:cs="仿宋"/>
              <w:sz w:val="24"/>
              <w:szCs w:val="24"/>
            </w:rPr>
            <w:t>第三章 土壤污染隐患排查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_Toc28325 </w:instrText>
          </w:r>
          <w:r>
            <w:rPr>
              <w:rFonts w:hint="eastAsia" w:ascii="仿宋" w:hAnsi="仿宋" w:eastAsia="仿宋" w:cs="仿宋"/>
              <w:sz w:val="24"/>
              <w:szCs w:val="24"/>
            </w:rPr>
            <w:fldChar w:fldCharType="separate"/>
          </w:r>
          <w:r>
            <w:rPr>
              <w:rFonts w:hint="eastAsia" w:ascii="仿宋" w:hAnsi="仿宋" w:eastAsia="仿宋" w:cs="仿宋"/>
              <w:sz w:val="24"/>
              <w:szCs w:val="24"/>
            </w:rPr>
            <w:t>40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_Toc7163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3.1 排查要点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_Toc7163 </w:instrText>
          </w:r>
          <w:r>
            <w:rPr>
              <w:rFonts w:hint="eastAsia" w:ascii="仿宋" w:hAnsi="仿宋" w:eastAsia="仿宋" w:cs="仿宋"/>
              <w:sz w:val="24"/>
              <w:szCs w:val="24"/>
            </w:rPr>
            <w:fldChar w:fldCharType="separate"/>
          </w:r>
          <w:r>
            <w:rPr>
              <w:rFonts w:hint="eastAsia" w:ascii="仿宋" w:hAnsi="仿宋" w:eastAsia="仿宋" w:cs="仿宋"/>
              <w:sz w:val="24"/>
              <w:szCs w:val="24"/>
            </w:rPr>
            <w:t>40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_Toc1733 </w:instrText>
          </w:r>
          <w:r>
            <w:rPr>
              <w:rFonts w:hint="eastAsia" w:ascii="仿宋" w:hAnsi="仿宋" w:eastAsia="仿宋" w:cs="仿宋"/>
              <w:sz w:val="24"/>
              <w:szCs w:val="24"/>
            </w:rPr>
            <w:fldChar w:fldCharType="separate"/>
          </w:r>
          <w:r>
            <w:rPr>
              <w:rFonts w:hint="eastAsia" w:ascii="仿宋" w:hAnsi="仿宋" w:eastAsia="仿宋" w:cs="仿宋"/>
              <w:sz w:val="24"/>
              <w:szCs w:val="24"/>
              <w:lang w:val="en-US" w:eastAsia="zh-CN"/>
            </w:rPr>
            <w:t xml:space="preserve">3.2 </w:t>
          </w:r>
          <w:r>
            <w:rPr>
              <w:rFonts w:hint="eastAsia" w:ascii="仿宋" w:hAnsi="仿宋" w:eastAsia="仿宋" w:cs="仿宋"/>
              <w:sz w:val="24"/>
              <w:szCs w:val="24"/>
            </w:rPr>
            <w:t>技术路线</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_Toc1733 </w:instrText>
          </w:r>
          <w:r>
            <w:rPr>
              <w:rFonts w:hint="eastAsia" w:ascii="仿宋" w:hAnsi="仿宋" w:eastAsia="仿宋" w:cs="仿宋"/>
              <w:sz w:val="24"/>
              <w:szCs w:val="24"/>
            </w:rPr>
            <w:fldChar w:fldCharType="separate"/>
          </w:r>
          <w:r>
            <w:rPr>
              <w:rFonts w:hint="eastAsia" w:ascii="仿宋" w:hAnsi="仿宋" w:eastAsia="仿宋" w:cs="仿宋"/>
              <w:sz w:val="24"/>
              <w:szCs w:val="24"/>
            </w:rPr>
            <w:t>40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7"/>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_Toc19059 </w:instrText>
          </w:r>
          <w:r>
            <w:rPr>
              <w:rFonts w:hint="eastAsia" w:ascii="仿宋" w:hAnsi="仿宋" w:eastAsia="仿宋" w:cs="仿宋"/>
              <w:sz w:val="24"/>
              <w:szCs w:val="24"/>
            </w:rPr>
            <w:fldChar w:fldCharType="separate"/>
          </w:r>
          <w:r>
            <w:rPr>
              <w:rFonts w:hint="eastAsia" w:ascii="仿宋" w:hAnsi="仿宋" w:eastAsia="仿宋" w:cs="仿宋"/>
              <w:sz w:val="24"/>
              <w:szCs w:val="24"/>
            </w:rPr>
            <w:t>第四章 场地调查工作计划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_Toc19059 </w:instrText>
          </w:r>
          <w:r>
            <w:rPr>
              <w:rFonts w:hint="eastAsia" w:ascii="仿宋" w:hAnsi="仿宋" w:eastAsia="仿宋" w:cs="仿宋"/>
              <w:sz w:val="24"/>
              <w:szCs w:val="24"/>
            </w:rPr>
            <w:fldChar w:fldCharType="separate"/>
          </w:r>
          <w:r>
            <w:rPr>
              <w:rFonts w:hint="eastAsia" w:ascii="仿宋" w:hAnsi="仿宋" w:eastAsia="仿宋" w:cs="仿宋"/>
              <w:sz w:val="24"/>
              <w:szCs w:val="24"/>
            </w:rPr>
            <w:t>42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_Toc7673 </w:instrText>
          </w:r>
          <w:r>
            <w:rPr>
              <w:rFonts w:hint="eastAsia" w:ascii="仿宋" w:hAnsi="仿宋" w:eastAsia="仿宋" w:cs="仿宋"/>
              <w:sz w:val="24"/>
              <w:szCs w:val="24"/>
            </w:rPr>
            <w:fldChar w:fldCharType="separate"/>
          </w:r>
          <w:r>
            <w:rPr>
              <w:rFonts w:hint="eastAsia" w:ascii="仿宋" w:hAnsi="仿宋" w:eastAsia="仿宋" w:cs="仿宋"/>
              <w:sz w:val="24"/>
              <w:szCs w:val="24"/>
            </w:rPr>
            <w:t>4.1 主要工作内容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_Toc7673 </w:instrText>
          </w:r>
          <w:r>
            <w:rPr>
              <w:rFonts w:hint="eastAsia" w:ascii="仿宋" w:hAnsi="仿宋" w:eastAsia="仿宋" w:cs="仿宋"/>
              <w:sz w:val="24"/>
              <w:szCs w:val="24"/>
            </w:rPr>
            <w:fldChar w:fldCharType="separate"/>
          </w:r>
          <w:r>
            <w:rPr>
              <w:rFonts w:hint="eastAsia" w:ascii="仿宋" w:hAnsi="仿宋" w:eastAsia="仿宋" w:cs="仿宋"/>
              <w:sz w:val="24"/>
              <w:szCs w:val="24"/>
            </w:rPr>
            <w:t>42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_Toc1960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采样不点原则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_Toc1960 </w:instrText>
          </w:r>
          <w:r>
            <w:rPr>
              <w:rFonts w:hint="eastAsia" w:ascii="仿宋" w:hAnsi="仿宋" w:eastAsia="仿宋" w:cs="仿宋"/>
              <w:sz w:val="24"/>
              <w:szCs w:val="24"/>
            </w:rPr>
            <w:fldChar w:fldCharType="separate"/>
          </w:r>
          <w:r>
            <w:rPr>
              <w:rFonts w:hint="eastAsia" w:ascii="仿宋" w:hAnsi="仿宋" w:eastAsia="仿宋" w:cs="仿宋"/>
              <w:sz w:val="24"/>
              <w:szCs w:val="24"/>
            </w:rPr>
            <w:t>42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_Toc7686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 采样方案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_Toc7686 </w:instrText>
          </w:r>
          <w:r>
            <w:rPr>
              <w:rFonts w:hint="eastAsia" w:ascii="仿宋" w:hAnsi="仿宋" w:eastAsia="仿宋" w:cs="仿宋"/>
              <w:sz w:val="24"/>
              <w:szCs w:val="24"/>
            </w:rPr>
            <w:fldChar w:fldCharType="separate"/>
          </w:r>
          <w:r>
            <w:rPr>
              <w:rFonts w:hint="eastAsia" w:ascii="仿宋" w:hAnsi="仿宋" w:eastAsia="仿宋" w:cs="仿宋"/>
              <w:sz w:val="24"/>
              <w:szCs w:val="24"/>
            </w:rPr>
            <w:t>43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_Toc8223 </w:instrText>
          </w:r>
          <w:r>
            <w:rPr>
              <w:rFonts w:hint="eastAsia" w:ascii="仿宋" w:hAnsi="仿宋" w:eastAsia="仿宋" w:cs="仿宋"/>
              <w:sz w:val="24"/>
              <w:szCs w:val="24"/>
            </w:rPr>
            <w:fldChar w:fldCharType="separate"/>
          </w:r>
          <w:r>
            <w:rPr>
              <w:rFonts w:hint="eastAsia" w:ascii="仿宋" w:hAnsi="仿宋" w:eastAsia="仿宋" w:cs="仿宋"/>
              <w:sz w:val="24"/>
              <w:szCs w:val="24"/>
            </w:rPr>
            <w:t>4.3 监测频次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_Toc8223 </w:instrText>
          </w:r>
          <w:r>
            <w:rPr>
              <w:rFonts w:hint="eastAsia" w:ascii="仿宋" w:hAnsi="仿宋" w:eastAsia="仿宋" w:cs="仿宋"/>
              <w:sz w:val="24"/>
              <w:szCs w:val="24"/>
            </w:rPr>
            <w:fldChar w:fldCharType="separate"/>
          </w:r>
          <w:r>
            <w:rPr>
              <w:rFonts w:hint="eastAsia" w:ascii="仿宋" w:hAnsi="仿宋" w:eastAsia="仿宋" w:cs="仿宋"/>
              <w:sz w:val="24"/>
              <w:szCs w:val="24"/>
            </w:rPr>
            <w:t>51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_Toc19430 </w:instrText>
          </w:r>
          <w:r>
            <w:rPr>
              <w:rFonts w:hint="eastAsia" w:ascii="仿宋" w:hAnsi="仿宋" w:eastAsia="仿宋" w:cs="仿宋"/>
              <w:sz w:val="24"/>
              <w:szCs w:val="24"/>
            </w:rPr>
            <w:fldChar w:fldCharType="separate"/>
          </w:r>
          <w:r>
            <w:rPr>
              <w:rFonts w:hint="eastAsia" w:ascii="仿宋" w:hAnsi="仿宋" w:eastAsia="仿宋" w:cs="仿宋"/>
              <w:sz w:val="24"/>
              <w:szCs w:val="24"/>
            </w:rPr>
            <w:t>4.</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评价标准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_Toc19430 </w:instrText>
          </w:r>
          <w:r>
            <w:rPr>
              <w:rFonts w:hint="eastAsia" w:ascii="仿宋" w:hAnsi="仿宋" w:eastAsia="仿宋" w:cs="仿宋"/>
              <w:sz w:val="24"/>
              <w:szCs w:val="24"/>
            </w:rPr>
            <w:fldChar w:fldCharType="separate"/>
          </w:r>
          <w:r>
            <w:rPr>
              <w:rFonts w:hint="eastAsia" w:ascii="仿宋" w:hAnsi="仿宋" w:eastAsia="仿宋" w:cs="仿宋"/>
              <w:sz w:val="24"/>
              <w:szCs w:val="24"/>
            </w:rPr>
            <w:t>51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7"/>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_Toc27979 </w:instrText>
          </w:r>
          <w:r>
            <w:rPr>
              <w:rFonts w:hint="eastAsia" w:ascii="仿宋" w:hAnsi="仿宋" w:eastAsia="仿宋" w:cs="仿宋"/>
              <w:sz w:val="24"/>
              <w:szCs w:val="24"/>
            </w:rPr>
            <w:fldChar w:fldCharType="separate"/>
          </w:r>
          <w:r>
            <w:rPr>
              <w:rFonts w:hint="eastAsia" w:ascii="仿宋" w:hAnsi="仿宋" w:eastAsia="仿宋" w:cs="仿宋"/>
              <w:sz w:val="24"/>
              <w:szCs w:val="24"/>
            </w:rPr>
            <w:t>第</w:t>
          </w:r>
          <w:r>
            <w:rPr>
              <w:rFonts w:hint="eastAsia" w:ascii="仿宋" w:hAnsi="仿宋" w:eastAsia="仿宋" w:cs="仿宋"/>
              <w:sz w:val="24"/>
              <w:szCs w:val="24"/>
              <w:lang w:val="en-US" w:eastAsia="zh-CN"/>
            </w:rPr>
            <w:t>五</w:t>
          </w:r>
          <w:r>
            <w:rPr>
              <w:rFonts w:hint="eastAsia" w:ascii="仿宋" w:hAnsi="仿宋" w:eastAsia="仿宋" w:cs="仿宋"/>
              <w:sz w:val="24"/>
              <w:szCs w:val="24"/>
            </w:rPr>
            <w:t>章 采样方法与质量保证</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_Toc27979 </w:instrText>
          </w:r>
          <w:r>
            <w:rPr>
              <w:rFonts w:hint="eastAsia" w:ascii="仿宋" w:hAnsi="仿宋" w:eastAsia="仿宋" w:cs="仿宋"/>
              <w:sz w:val="24"/>
              <w:szCs w:val="24"/>
            </w:rPr>
            <w:fldChar w:fldCharType="separate"/>
          </w:r>
          <w:r>
            <w:rPr>
              <w:rFonts w:hint="eastAsia" w:ascii="仿宋" w:hAnsi="仿宋" w:eastAsia="仿宋" w:cs="仿宋"/>
              <w:sz w:val="24"/>
              <w:szCs w:val="24"/>
            </w:rPr>
            <w:t>52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_Toc10781 </w:instrText>
          </w:r>
          <w:r>
            <w:rPr>
              <w:rFonts w:hint="eastAsia" w:ascii="仿宋" w:hAnsi="仿宋" w:eastAsia="仿宋" w:cs="仿宋"/>
              <w:sz w:val="24"/>
              <w:szCs w:val="24"/>
            </w:rPr>
            <w:fldChar w:fldCharType="separate"/>
          </w:r>
          <w:r>
            <w:rPr>
              <w:rFonts w:hint="eastAsia" w:ascii="仿宋" w:hAnsi="仿宋" w:eastAsia="仿宋" w:cs="仿宋"/>
              <w:sz w:val="24"/>
              <w:szCs w:val="24"/>
            </w:rPr>
            <w:t>5.1 进场前准备工作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_Toc10781 </w:instrText>
          </w:r>
          <w:r>
            <w:rPr>
              <w:rFonts w:hint="eastAsia" w:ascii="仿宋" w:hAnsi="仿宋" w:eastAsia="仿宋" w:cs="仿宋"/>
              <w:sz w:val="24"/>
              <w:szCs w:val="24"/>
            </w:rPr>
            <w:fldChar w:fldCharType="separate"/>
          </w:r>
          <w:r>
            <w:rPr>
              <w:rFonts w:hint="eastAsia" w:ascii="仿宋" w:hAnsi="仿宋" w:eastAsia="仿宋" w:cs="仿宋"/>
              <w:sz w:val="24"/>
              <w:szCs w:val="24"/>
            </w:rPr>
            <w:t>52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_Toc8977 </w:instrText>
          </w:r>
          <w:r>
            <w:rPr>
              <w:rFonts w:hint="eastAsia" w:ascii="仿宋" w:hAnsi="仿宋" w:eastAsia="仿宋" w:cs="仿宋"/>
              <w:sz w:val="24"/>
              <w:szCs w:val="24"/>
            </w:rPr>
            <w:fldChar w:fldCharType="separate"/>
          </w:r>
          <w:r>
            <w:rPr>
              <w:rFonts w:hint="eastAsia" w:ascii="仿宋" w:hAnsi="仿宋" w:eastAsia="仿宋" w:cs="仿宋"/>
              <w:sz w:val="24"/>
              <w:szCs w:val="24"/>
            </w:rPr>
            <w:t>5.2 采样方法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_Toc8977 </w:instrText>
          </w:r>
          <w:r>
            <w:rPr>
              <w:rFonts w:hint="eastAsia" w:ascii="仿宋" w:hAnsi="仿宋" w:eastAsia="仿宋" w:cs="仿宋"/>
              <w:sz w:val="24"/>
              <w:szCs w:val="24"/>
            </w:rPr>
            <w:fldChar w:fldCharType="separate"/>
          </w:r>
          <w:r>
            <w:rPr>
              <w:rFonts w:hint="eastAsia" w:ascii="仿宋" w:hAnsi="仿宋" w:eastAsia="仿宋" w:cs="仿宋"/>
              <w:sz w:val="24"/>
              <w:szCs w:val="24"/>
            </w:rPr>
            <w:t>52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_Toc12966 </w:instrText>
          </w:r>
          <w:r>
            <w:rPr>
              <w:rFonts w:hint="eastAsia" w:ascii="仿宋" w:hAnsi="仿宋" w:eastAsia="仿宋" w:cs="仿宋"/>
              <w:sz w:val="24"/>
              <w:szCs w:val="24"/>
            </w:rPr>
            <w:fldChar w:fldCharType="separate"/>
          </w:r>
          <w:r>
            <w:rPr>
              <w:rFonts w:hint="eastAsia" w:ascii="仿宋" w:hAnsi="仿宋" w:eastAsia="仿宋" w:cs="仿宋"/>
              <w:sz w:val="24"/>
              <w:szCs w:val="24"/>
            </w:rPr>
            <w:t>5.2.1 土壤样品采集方法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_Toc12966 </w:instrText>
          </w:r>
          <w:r>
            <w:rPr>
              <w:rFonts w:hint="eastAsia" w:ascii="仿宋" w:hAnsi="仿宋" w:eastAsia="仿宋" w:cs="仿宋"/>
              <w:sz w:val="24"/>
              <w:szCs w:val="24"/>
            </w:rPr>
            <w:fldChar w:fldCharType="separate"/>
          </w:r>
          <w:r>
            <w:rPr>
              <w:rFonts w:hint="eastAsia" w:ascii="仿宋" w:hAnsi="仿宋" w:eastAsia="仿宋" w:cs="仿宋"/>
              <w:sz w:val="24"/>
              <w:szCs w:val="24"/>
            </w:rPr>
            <w:t>52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_Toc14982 </w:instrText>
          </w:r>
          <w:r>
            <w:rPr>
              <w:rFonts w:hint="eastAsia" w:ascii="仿宋" w:hAnsi="仿宋" w:eastAsia="仿宋" w:cs="仿宋"/>
              <w:sz w:val="24"/>
              <w:szCs w:val="24"/>
            </w:rPr>
            <w:fldChar w:fldCharType="separate"/>
          </w:r>
          <w:r>
            <w:rPr>
              <w:rFonts w:hint="eastAsia" w:ascii="仿宋" w:hAnsi="仿宋" w:eastAsia="仿宋" w:cs="仿宋"/>
              <w:sz w:val="24"/>
              <w:szCs w:val="24"/>
            </w:rPr>
            <w:t>5.2.2 地下水样品采集方法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_Toc14982 </w:instrText>
          </w:r>
          <w:r>
            <w:rPr>
              <w:rFonts w:hint="eastAsia" w:ascii="仿宋" w:hAnsi="仿宋" w:eastAsia="仿宋" w:cs="仿宋"/>
              <w:sz w:val="24"/>
              <w:szCs w:val="24"/>
            </w:rPr>
            <w:fldChar w:fldCharType="separate"/>
          </w:r>
          <w:r>
            <w:rPr>
              <w:rFonts w:hint="eastAsia" w:ascii="仿宋" w:hAnsi="仿宋" w:eastAsia="仿宋" w:cs="仿宋"/>
              <w:sz w:val="24"/>
              <w:szCs w:val="24"/>
            </w:rPr>
            <w:t>52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_Toc19773 </w:instrText>
          </w:r>
          <w:r>
            <w:rPr>
              <w:rFonts w:hint="eastAsia" w:ascii="仿宋" w:hAnsi="仿宋" w:eastAsia="仿宋" w:cs="仿宋"/>
              <w:sz w:val="24"/>
              <w:szCs w:val="24"/>
            </w:rPr>
            <w:fldChar w:fldCharType="separate"/>
          </w:r>
          <w:r>
            <w:rPr>
              <w:rFonts w:hint="eastAsia" w:ascii="仿宋" w:hAnsi="仿宋" w:eastAsia="仿宋" w:cs="仿宋"/>
              <w:sz w:val="24"/>
              <w:szCs w:val="24"/>
            </w:rPr>
            <w:t>5.3 样品保存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_Toc19773 </w:instrText>
          </w:r>
          <w:r>
            <w:rPr>
              <w:rFonts w:hint="eastAsia" w:ascii="仿宋" w:hAnsi="仿宋" w:eastAsia="仿宋" w:cs="仿宋"/>
              <w:sz w:val="24"/>
              <w:szCs w:val="24"/>
            </w:rPr>
            <w:fldChar w:fldCharType="separate"/>
          </w:r>
          <w:r>
            <w:rPr>
              <w:rFonts w:hint="eastAsia" w:ascii="仿宋" w:hAnsi="仿宋" w:eastAsia="仿宋" w:cs="仿宋"/>
              <w:sz w:val="24"/>
              <w:szCs w:val="24"/>
            </w:rPr>
            <w:t>53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_Toc27525 </w:instrText>
          </w:r>
          <w:r>
            <w:rPr>
              <w:rFonts w:hint="eastAsia" w:ascii="仿宋" w:hAnsi="仿宋" w:eastAsia="仿宋" w:cs="仿宋"/>
              <w:sz w:val="24"/>
              <w:szCs w:val="24"/>
            </w:rPr>
            <w:fldChar w:fldCharType="separate"/>
          </w:r>
          <w:r>
            <w:rPr>
              <w:rFonts w:hint="eastAsia" w:ascii="仿宋" w:hAnsi="仿宋" w:eastAsia="仿宋" w:cs="仿宋"/>
              <w:sz w:val="24"/>
              <w:szCs w:val="24"/>
            </w:rPr>
            <w:t>5.4 质量保证与质量控制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_Toc27525 </w:instrText>
          </w:r>
          <w:r>
            <w:rPr>
              <w:rFonts w:hint="eastAsia" w:ascii="仿宋" w:hAnsi="仿宋" w:eastAsia="仿宋" w:cs="仿宋"/>
              <w:sz w:val="24"/>
              <w:szCs w:val="24"/>
            </w:rPr>
            <w:fldChar w:fldCharType="separate"/>
          </w:r>
          <w:r>
            <w:rPr>
              <w:rFonts w:hint="eastAsia" w:ascii="仿宋" w:hAnsi="仿宋" w:eastAsia="仿宋" w:cs="仿宋"/>
              <w:sz w:val="24"/>
              <w:szCs w:val="24"/>
            </w:rPr>
            <w:t>53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7"/>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_Toc19734 </w:instrText>
          </w:r>
          <w:r>
            <w:rPr>
              <w:rFonts w:hint="eastAsia" w:ascii="仿宋" w:hAnsi="仿宋" w:eastAsia="仿宋" w:cs="仿宋"/>
              <w:sz w:val="24"/>
              <w:szCs w:val="24"/>
            </w:rPr>
            <w:fldChar w:fldCharType="separate"/>
          </w:r>
          <w:r>
            <w:rPr>
              <w:rFonts w:hint="eastAsia" w:ascii="仿宋" w:hAnsi="仿宋" w:eastAsia="仿宋" w:cs="仿宋"/>
              <w:sz w:val="24"/>
              <w:szCs w:val="24"/>
            </w:rPr>
            <w:t>第六章 项目核算</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_Toc19734 </w:instrText>
          </w:r>
          <w:r>
            <w:rPr>
              <w:rFonts w:hint="eastAsia" w:ascii="仿宋" w:hAnsi="仿宋" w:eastAsia="仿宋" w:cs="仿宋"/>
              <w:sz w:val="24"/>
              <w:szCs w:val="24"/>
            </w:rPr>
            <w:fldChar w:fldCharType="separate"/>
          </w:r>
          <w:r>
            <w:rPr>
              <w:rFonts w:hint="eastAsia" w:ascii="仿宋" w:hAnsi="仿宋" w:eastAsia="仿宋" w:cs="仿宋"/>
              <w:sz w:val="24"/>
              <w:szCs w:val="24"/>
            </w:rPr>
            <w:t>54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7"/>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_Toc29713 </w:instrText>
          </w:r>
          <w:r>
            <w:rPr>
              <w:rFonts w:hint="eastAsia" w:ascii="仿宋" w:hAnsi="仿宋" w:eastAsia="仿宋" w:cs="仿宋"/>
              <w:sz w:val="24"/>
              <w:szCs w:val="24"/>
            </w:rPr>
            <w:fldChar w:fldCharType="separate"/>
          </w:r>
          <w:r>
            <w:rPr>
              <w:rFonts w:hint="eastAsia" w:ascii="仿宋" w:hAnsi="仿宋" w:eastAsia="仿宋" w:cs="仿宋"/>
              <w:sz w:val="24"/>
              <w:szCs w:val="24"/>
            </w:rPr>
            <w:t>第七章 报告编制及工作建议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_Toc29713 </w:instrText>
          </w:r>
          <w:r>
            <w:rPr>
              <w:rFonts w:hint="eastAsia" w:ascii="仿宋" w:hAnsi="仿宋" w:eastAsia="仿宋" w:cs="仿宋"/>
              <w:sz w:val="24"/>
              <w:szCs w:val="24"/>
            </w:rPr>
            <w:fldChar w:fldCharType="separate"/>
          </w:r>
          <w:r>
            <w:rPr>
              <w:rFonts w:hint="eastAsia" w:ascii="仿宋" w:hAnsi="仿宋" w:eastAsia="仿宋" w:cs="仿宋"/>
              <w:sz w:val="24"/>
              <w:szCs w:val="24"/>
            </w:rPr>
            <w:t>55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_Toc22857 </w:instrText>
          </w:r>
          <w:r>
            <w:rPr>
              <w:rFonts w:hint="eastAsia" w:ascii="仿宋" w:hAnsi="仿宋" w:eastAsia="仿宋" w:cs="仿宋"/>
              <w:sz w:val="24"/>
              <w:szCs w:val="24"/>
            </w:rPr>
            <w:fldChar w:fldCharType="separate"/>
          </w:r>
          <w:r>
            <w:rPr>
              <w:rFonts w:hint="eastAsia" w:ascii="仿宋" w:hAnsi="仿宋" w:eastAsia="仿宋" w:cs="仿宋"/>
              <w:sz w:val="24"/>
              <w:szCs w:val="24"/>
            </w:rPr>
            <w:t>7.1 报告编制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_Toc22857 </w:instrText>
          </w:r>
          <w:r>
            <w:rPr>
              <w:rFonts w:hint="eastAsia" w:ascii="仿宋" w:hAnsi="仿宋" w:eastAsia="仿宋" w:cs="仿宋"/>
              <w:sz w:val="24"/>
              <w:szCs w:val="24"/>
            </w:rPr>
            <w:fldChar w:fldCharType="separate"/>
          </w:r>
          <w:r>
            <w:rPr>
              <w:rFonts w:hint="eastAsia" w:ascii="仿宋" w:hAnsi="仿宋" w:eastAsia="仿宋" w:cs="仿宋"/>
              <w:sz w:val="24"/>
              <w:szCs w:val="24"/>
            </w:rPr>
            <w:t>55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1"/>
            <w:tabs>
              <w:tab w:val="right" w:leader="dot" w:pos="8220"/>
            </w:tabs>
            <w:spacing w:line="360" w:lineRule="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_Toc9114 </w:instrText>
          </w:r>
          <w:r>
            <w:rPr>
              <w:rFonts w:hint="eastAsia" w:ascii="仿宋" w:hAnsi="仿宋" w:eastAsia="仿宋" w:cs="仿宋"/>
              <w:sz w:val="24"/>
              <w:szCs w:val="24"/>
            </w:rPr>
            <w:fldChar w:fldCharType="separate"/>
          </w:r>
          <w:r>
            <w:rPr>
              <w:rFonts w:hint="eastAsia" w:ascii="仿宋" w:hAnsi="仿宋" w:eastAsia="仿宋" w:cs="仿宋"/>
              <w:sz w:val="24"/>
              <w:szCs w:val="24"/>
            </w:rPr>
            <w:t>7.2 建议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_Toc9114 </w:instrText>
          </w:r>
          <w:r>
            <w:rPr>
              <w:rFonts w:hint="eastAsia" w:ascii="仿宋" w:hAnsi="仿宋" w:eastAsia="仿宋" w:cs="仿宋"/>
              <w:sz w:val="24"/>
              <w:szCs w:val="24"/>
            </w:rPr>
            <w:fldChar w:fldCharType="separate"/>
          </w:r>
          <w:r>
            <w:rPr>
              <w:rFonts w:hint="eastAsia" w:ascii="仿宋" w:hAnsi="仿宋" w:eastAsia="仿宋" w:cs="仿宋"/>
              <w:sz w:val="24"/>
              <w:szCs w:val="24"/>
            </w:rPr>
            <w:t>55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spacing w:line="360" w:lineRule="auto"/>
            <w:rPr>
              <w:rFonts w:ascii="Times New Roman" w:hAnsi="Times New Roman" w:eastAsia="仿宋"/>
              <w:sz w:val="24"/>
              <w:szCs w:val="24"/>
            </w:rPr>
          </w:pPr>
          <w:r>
            <w:rPr>
              <w:rFonts w:hint="eastAsia" w:ascii="仿宋" w:hAnsi="仿宋" w:eastAsia="仿宋" w:cs="仿宋"/>
              <w:sz w:val="24"/>
              <w:szCs w:val="24"/>
            </w:rPr>
            <w:fldChar w:fldCharType="end"/>
          </w:r>
        </w:p>
      </w:sdtContent>
    </w:sdt>
    <w:p>
      <w:pPr>
        <w:tabs>
          <w:tab w:val="left" w:pos="1249"/>
        </w:tabs>
        <w:jc w:val="left"/>
        <w:sectPr>
          <w:headerReference r:id="rId4" w:type="first"/>
          <w:headerReference r:id="rId3" w:type="default"/>
          <w:footerReference r:id="rId5" w:type="default"/>
          <w:type w:val="continuous"/>
          <w:pgSz w:w="11906" w:h="16838"/>
          <w:pgMar w:top="1418" w:right="1701" w:bottom="1418" w:left="1701" w:header="851" w:footer="992" w:gutter="284"/>
          <w:cols w:space="720" w:num="1"/>
          <w:titlePg/>
          <w:docGrid w:type="lines" w:linePitch="312" w:charSpace="0"/>
        </w:sectPr>
      </w:pPr>
    </w:p>
    <w:p>
      <w:pPr>
        <w:pStyle w:val="2"/>
        <w:jc w:val="center"/>
        <w:rPr>
          <w:rFonts w:eastAsia="仿宋"/>
          <w:sz w:val="32"/>
          <w:szCs w:val="32"/>
        </w:rPr>
      </w:pPr>
      <w:bookmarkStart w:id="0" w:name="_Toc9339"/>
      <w:bookmarkStart w:id="1" w:name="_Toc7174"/>
      <w:r>
        <w:rPr>
          <w:rFonts w:eastAsia="仿宋"/>
          <w:sz w:val="32"/>
          <w:szCs w:val="32"/>
        </w:rPr>
        <w:t>第一章 项目概述</w:t>
      </w:r>
      <w:bookmarkEnd w:id="0"/>
      <w:bookmarkEnd w:id="1"/>
    </w:p>
    <w:p>
      <w:pPr>
        <w:pStyle w:val="3"/>
        <w:spacing w:before="120" w:after="120" w:line="360" w:lineRule="auto"/>
        <w:rPr>
          <w:rFonts w:ascii="Times New Roman" w:hAnsi="Times New Roman" w:eastAsia="仿宋"/>
          <w:b w:val="0"/>
          <w:sz w:val="30"/>
          <w:szCs w:val="30"/>
        </w:rPr>
      </w:pPr>
      <w:bookmarkStart w:id="2" w:name="_Toc427516407"/>
      <w:bookmarkStart w:id="3" w:name="_Toc512351167"/>
      <w:bookmarkStart w:id="4" w:name="_Toc29784"/>
      <w:bookmarkStart w:id="5" w:name="_Toc17896"/>
      <w:bookmarkStart w:id="6" w:name="_Toc20727"/>
      <w:bookmarkStart w:id="7" w:name="_Toc4682"/>
      <w:bookmarkStart w:id="8" w:name="_Toc4353"/>
      <w:bookmarkStart w:id="9" w:name="_Toc27248"/>
      <w:bookmarkStart w:id="10" w:name="_Toc498199418"/>
      <w:bookmarkStart w:id="11" w:name="_Toc434353284"/>
      <w:r>
        <w:rPr>
          <w:rFonts w:ascii="Times New Roman" w:hAnsi="Times New Roman" w:eastAsia="仿宋"/>
          <w:sz w:val="30"/>
          <w:szCs w:val="30"/>
        </w:rPr>
        <w:t>1.1</w:t>
      </w:r>
      <w:bookmarkEnd w:id="2"/>
      <w:r>
        <w:rPr>
          <w:rFonts w:hint="eastAsia" w:ascii="Times New Roman" w:hAnsi="Times New Roman" w:eastAsia="仿宋"/>
          <w:sz w:val="30"/>
          <w:szCs w:val="30"/>
        </w:rPr>
        <w:t xml:space="preserve"> </w:t>
      </w:r>
      <w:r>
        <w:rPr>
          <w:rFonts w:ascii="Times New Roman" w:hAnsi="Times New Roman" w:eastAsia="仿宋"/>
          <w:sz w:val="30"/>
          <w:szCs w:val="30"/>
        </w:rPr>
        <w:t>项目背景</w:t>
      </w:r>
      <w:bookmarkEnd w:id="3"/>
      <w:bookmarkEnd w:id="4"/>
      <w:bookmarkEnd w:id="5"/>
      <w:bookmarkEnd w:id="6"/>
      <w:bookmarkEnd w:id="7"/>
      <w:bookmarkEnd w:id="8"/>
      <w:bookmarkEnd w:id="9"/>
      <w:bookmarkEnd w:id="10"/>
      <w:bookmarkEnd w:id="11"/>
    </w:p>
    <w:p>
      <w:pPr>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rPr>
        <w:t>双狮（张家港）精细化工有限公司成立于2003年，位于张家港保税区扬子江国际化学工业园长江北路（北纬31.998778°，东经120.470721°），北侧为东华能源（张家港）新材料有限公司，西侧临东华能源股份有限公司，东侧为长江北路，南侧为张家港保税物流园区（东区），占地面积900多亩。该公司主要从事液氯、烧碱、硫酸、氯磺酸、盐酸、氢气、次氯酸钠的生产。目前公司共设了两期项目的建设：一期建设内容为长江码头工程、100万吨/年硫酸工程、50000kW的余热发电机组、9.5万吨/年氯系列产品化工生产装置；二期建设内容为130万吨/年硫酸工程、15万吨有机氯系列化工产品、5万吨氯磺酸项目、50MW热电项目。目前各期项目均已通过审批与验收：苏环管[2004]180号文件审批的码头工程项目；苏环管[2004]220号年产100万吨带热回收系统硫磺制酸项目；苏环建[2007]118号二期年产15万吨有机氯系列化工产品之5万吨氯磺酸搬迁项目；苏环建[2007]129号年产15万吨氯系列化工产品项目；苏环建[2007]556号年产130万吨带热回收系统的硫磺制酸项目及其配套工程；苏环表复[2008]139号年产130万吨硫磺制酸工程的50MW余热发电项目。</w:t>
      </w:r>
      <w:r>
        <w:rPr>
          <w:rFonts w:hint="eastAsia" w:ascii="Times New Roman" w:hAnsi="Times New Roman" w:eastAsia="仿宋"/>
          <w:sz w:val="24"/>
          <w:szCs w:val="24"/>
          <w:lang w:val="en-US" w:eastAsia="zh-CN"/>
        </w:rPr>
        <w:t>目前、</w:t>
      </w:r>
      <w:r>
        <w:rPr>
          <w:rFonts w:hint="eastAsia" w:ascii="Times New Roman" w:hAnsi="Times New Roman" w:eastAsia="仿宋"/>
          <w:sz w:val="24"/>
          <w:szCs w:val="24"/>
        </w:rPr>
        <w:t>公司</w:t>
      </w:r>
      <w:r>
        <w:rPr>
          <w:rFonts w:hint="eastAsia" w:ascii="Times New Roman" w:hAnsi="Times New Roman" w:eastAsia="仿宋"/>
          <w:sz w:val="24"/>
          <w:szCs w:val="24"/>
          <w:lang w:val="en-US" w:eastAsia="zh-CN"/>
        </w:rPr>
        <w:t>各</w:t>
      </w:r>
      <w:r>
        <w:rPr>
          <w:rFonts w:hint="eastAsia" w:ascii="Times New Roman" w:hAnsi="Times New Roman" w:eastAsia="仿宋"/>
          <w:sz w:val="24"/>
          <w:szCs w:val="24"/>
        </w:rPr>
        <w:t>项目均正常运行。</w:t>
      </w:r>
    </w:p>
    <w:p>
      <w:pPr>
        <w:spacing w:line="360" w:lineRule="auto"/>
        <w:ind w:firstLine="480" w:firstLineChars="200"/>
        <w:rPr>
          <w:rFonts w:hint="eastAsia" w:ascii="Times New Roman" w:hAnsi="Times New Roman" w:eastAsia="仿宋"/>
          <w:sz w:val="24"/>
          <w:szCs w:val="24"/>
        </w:rPr>
      </w:pPr>
      <w:r>
        <w:rPr>
          <w:rFonts w:ascii="Times New Roman" w:hAnsi="Times New Roman" w:eastAsia="仿宋"/>
          <w:sz w:val="24"/>
          <w:szCs w:val="24"/>
        </w:rPr>
        <w:t>根据《江苏省土壤污染防治工作方案》、《苏州市土壤污染防治工作方案》、</w:t>
      </w:r>
      <w:r>
        <w:rPr>
          <w:rFonts w:hint="eastAsia" w:ascii="Times New Roman" w:hAnsi="Times New Roman" w:eastAsia="仿宋"/>
          <w:sz w:val="24"/>
          <w:szCs w:val="24"/>
        </w:rPr>
        <w:t>《张家港市土壤污染防治工作方案》、《关于印发2020年苏州市重点排污单位名单的通知》、《关于进一步加强土壤污染重点监管单位环境管理的通知》等文件规定，列入土壤污染重点监控名单的企业每年需自行对其用地进行土壤及地下水环境质量监测，结果向社会公开。</w:t>
      </w:r>
      <w:r>
        <w:rPr>
          <w:rFonts w:ascii="Times New Roman" w:hAnsi="Times New Roman" w:eastAsia="仿宋"/>
          <w:sz w:val="24"/>
          <w:szCs w:val="24"/>
        </w:rPr>
        <w:t>鉴于此，</w:t>
      </w:r>
      <w:r>
        <w:rPr>
          <w:rFonts w:hint="eastAsia" w:ascii="Times New Roman" w:hAnsi="Times New Roman" w:eastAsia="仿宋"/>
          <w:sz w:val="24"/>
          <w:szCs w:val="24"/>
        </w:rPr>
        <w:t>双狮（张家港）精细化工有限公司</w:t>
      </w:r>
      <w:r>
        <w:rPr>
          <w:rFonts w:ascii="Times New Roman" w:hAnsi="Times New Roman" w:eastAsia="仿宋"/>
          <w:sz w:val="24"/>
          <w:szCs w:val="24"/>
        </w:rPr>
        <w:t>本着自查、自证的态度，</w:t>
      </w:r>
      <w:r>
        <w:rPr>
          <w:rFonts w:hint="eastAsia" w:ascii="Times New Roman" w:hAnsi="Times New Roman" w:eastAsia="仿宋"/>
          <w:sz w:val="24"/>
          <w:szCs w:val="24"/>
        </w:rPr>
        <w:t>委托我单位（苏州国宇环境科技有限公司）对厂区内土壤及地下水环境质量开展2020年度监测</w:t>
      </w:r>
      <w:r>
        <w:rPr>
          <w:rFonts w:ascii="Times New Roman" w:hAnsi="Times New Roman" w:eastAsia="仿宋"/>
          <w:sz w:val="24"/>
          <w:szCs w:val="24"/>
        </w:rPr>
        <w:t>，以便整体掌握场地环境质量现状</w:t>
      </w:r>
      <w:r>
        <w:rPr>
          <w:rFonts w:hint="eastAsia" w:ascii="Times New Roman" w:hAnsi="Times New Roman" w:eastAsia="仿宋"/>
          <w:sz w:val="24"/>
          <w:szCs w:val="24"/>
        </w:rPr>
        <w:t>。我单位严格按照《在产企业土壤和地下水自行监测技术指南（报批稿）》、《建设用地土壤污染状况调查技术导则》、《建设用地土壤污染风险管控和修复 监测技术导则》、《建设用地土壤环境调查评估技术指南》等国家相关技术导则要求，派遣专业技术人员对企业用地进行了资料收集、现场踏勘和人员访谈、采样分析、数据分析等工作，编制场地环境自行监测报告，以期明确企业场地土壤及地下水环境质量现状及变化，为后续企业土壤及地下水污染防治工作提供参考依据</w:t>
      </w:r>
      <w:r>
        <w:rPr>
          <w:rFonts w:ascii="Times New Roman" w:hAnsi="Times New Roman" w:eastAsia="仿宋"/>
          <w:sz w:val="24"/>
          <w:szCs w:val="24"/>
        </w:rPr>
        <w:t>。</w:t>
      </w:r>
    </w:p>
    <w:p>
      <w:pPr>
        <w:pStyle w:val="3"/>
        <w:spacing w:before="120" w:after="120" w:line="360" w:lineRule="auto"/>
        <w:rPr>
          <w:rFonts w:ascii="Times New Roman" w:hAnsi="Times New Roman" w:eastAsia="仿宋"/>
          <w:b w:val="0"/>
          <w:sz w:val="30"/>
          <w:szCs w:val="30"/>
        </w:rPr>
      </w:pPr>
      <w:bookmarkStart w:id="12" w:name="_Toc13863"/>
      <w:bookmarkStart w:id="13" w:name="_Toc29349"/>
      <w:bookmarkStart w:id="14" w:name="_Toc498199419"/>
      <w:bookmarkStart w:id="15" w:name="_Toc427516408"/>
      <w:bookmarkStart w:id="16" w:name="_Toc3465"/>
      <w:bookmarkStart w:id="17" w:name="_Toc2432"/>
      <w:bookmarkStart w:id="18" w:name="_Toc512351168"/>
      <w:bookmarkStart w:id="19" w:name="_Toc2362"/>
      <w:bookmarkStart w:id="20" w:name="_Toc21115"/>
      <w:bookmarkStart w:id="21" w:name="_Toc434353285"/>
      <w:r>
        <w:rPr>
          <w:rFonts w:ascii="Times New Roman" w:hAnsi="Times New Roman" w:eastAsia="仿宋"/>
          <w:sz w:val="30"/>
          <w:szCs w:val="30"/>
        </w:rPr>
        <w:t>1.2</w:t>
      </w:r>
      <w:r>
        <w:rPr>
          <w:rFonts w:hint="eastAsia" w:ascii="Times New Roman" w:hAnsi="Times New Roman" w:eastAsia="仿宋"/>
          <w:sz w:val="30"/>
          <w:szCs w:val="30"/>
        </w:rPr>
        <w:t xml:space="preserve"> </w:t>
      </w:r>
      <w:r>
        <w:rPr>
          <w:rFonts w:ascii="Times New Roman" w:hAnsi="Times New Roman" w:eastAsia="仿宋"/>
          <w:sz w:val="30"/>
          <w:szCs w:val="30"/>
        </w:rPr>
        <w:t>监测原则</w:t>
      </w:r>
      <w:bookmarkEnd w:id="12"/>
      <w:bookmarkEnd w:id="13"/>
      <w:bookmarkEnd w:id="14"/>
      <w:bookmarkEnd w:id="15"/>
      <w:bookmarkEnd w:id="16"/>
      <w:bookmarkEnd w:id="17"/>
      <w:bookmarkEnd w:id="18"/>
      <w:bookmarkEnd w:id="19"/>
      <w:bookmarkEnd w:id="20"/>
      <w:bookmarkEnd w:id="21"/>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根据场地监测的内容及管理要求，本项目场地监测工作遵循以下原则：</w:t>
      </w:r>
    </w:p>
    <w:p>
      <w:pPr>
        <w:spacing w:line="360" w:lineRule="auto"/>
        <w:ind w:firstLine="482" w:firstLineChars="200"/>
        <w:rPr>
          <w:rFonts w:ascii="Times New Roman" w:hAnsi="Times New Roman" w:eastAsia="仿宋"/>
          <w:sz w:val="24"/>
          <w:szCs w:val="24"/>
        </w:rPr>
      </w:pPr>
      <w:r>
        <w:rPr>
          <w:rFonts w:ascii="Times New Roman" w:hAnsi="Times New Roman" w:eastAsia="仿宋"/>
          <w:b/>
          <w:sz w:val="24"/>
          <w:szCs w:val="24"/>
        </w:rPr>
        <w:t>针对性原则</w:t>
      </w:r>
      <w:r>
        <w:rPr>
          <w:rFonts w:ascii="Times New Roman" w:hAnsi="Times New Roman" w:eastAsia="仿宋"/>
          <w:sz w:val="24"/>
          <w:szCs w:val="24"/>
        </w:rPr>
        <w:t>：针对场地特性与潜在污染物特性，进行污染物浓度和空间分布分析，为场地后续的环境管理提供依据；</w:t>
      </w:r>
    </w:p>
    <w:p>
      <w:pPr>
        <w:spacing w:line="360" w:lineRule="auto"/>
        <w:ind w:firstLine="482" w:firstLineChars="200"/>
        <w:rPr>
          <w:rFonts w:ascii="Times New Roman" w:hAnsi="Times New Roman" w:eastAsia="仿宋"/>
          <w:sz w:val="24"/>
          <w:szCs w:val="24"/>
        </w:rPr>
      </w:pPr>
      <w:r>
        <w:rPr>
          <w:rFonts w:ascii="Times New Roman" w:hAnsi="Times New Roman" w:eastAsia="仿宋"/>
          <w:b/>
          <w:sz w:val="24"/>
          <w:szCs w:val="24"/>
        </w:rPr>
        <w:t>规范性原则</w:t>
      </w:r>
      <w:r>
        <w:rPr>
          <w:rFonts w:ascii="Times New Roman" w:hAnsi="Times New Roman" w:eastAsia="仿宋"/>
          <w:sz w:val="24"/>
          <w:szCs w:val="24"/>
        </w:rPr>
        <w:t>：采用程序化和系统化的方式规范场地监测过程，保证监测过程的科学性和客观性；</w:t>
      </w:r>
    </w:p>
    <w:p>
      <w:pPr>
        <w:spacing w:line="360" w:lineRule="auto"/>
        <w:ind w:firstLine="482" w:firstLineChars="200"/>
        <w:rPr>
          <w:rFonts w:ascii="Times New Roman" w:hAnsi="Times New Roman" w:eastAsia="仿宋"/>
          <w:sz w:val="24"/>
          <w:szCs w:val="24"/>
        </w:rPr>
      </w:pPr>
      <w:r>
        <w:rPr>
          <w:rFonts w:ascii="Times New Roman" w:hAnsi="Times New Roman" w:eastAsia="仿宋"/>
          <w:b/>
          <w:sz w:val="24"/>
          <w:szCs w:val="24"/>
        </w:rPr>
        <w:t>可操作性原则</w:t>
      </w:r>
      <w:r>
        <w:rPr>
          <w:rFonts w:ascii="Times New Roman" w:hAnsi="Times New Roman" w:eastAsia="仿宋"/>
          <w:sz w:val="24"/>
          <w:szCs w:val="24"/>
        </w:rPr>
        <w:t>：综合考虑监测方法、时间和经费等因素，结合当前科技发展和专业技术水平使监测过程切实可行。</w:t>
      </w:r>
    </w:p>
    <w:p>
      <w:pPr>
        <w:pStyle w:val="3"/>
        <w:spacing w:before="120" w:after="120" w:line="360" w:lineRule="auto"/>
        <w:rPr>
          <w:rFonts w:ascii="Times New Roman" w:hAnsi="Times New Roman" w:eastAsia="仿宋"/>
          <w:sz w:val="30"/>
          <w:szCs w:val="30"/>
        </w:rPr>
      </w:pPr>
      <w:bookmarkStart w:id="22" w:name="_Toc498199420"/>
      <w:bookmarkStart w:id="23" w:name="_Toc4239"/>
      <w:bookmarkStart w:id="24" w:name="_Toc14938"/>
      <w:bookmarkStart w:id="25" w:name="_Toc434353286"/>
      <w:bookmarkStart w:id="26" w:name="_Toc9790"/>
      <w:bookmarkStart w:id="27" w:name="_Toc512351169"/>
      <w:bookmarkStart w:id="28" w:name="_Toc22674"/>
      <w:bookmarkStart w:id="29" w:name="_Toc7129"/>
      <w:bookmarkStart w:id="30" w:name="_Toc427516409"/>
      <w:bookmarkStart w:id="31" w:name="_Toc16925"/>
      <w:r>
        <w:rPr>
          <w:rFonts w:ascii="Times New Roman" w:hAnsi="Times New Roman" w:eastAsia="仿宋"/>
          <w:sz w:val="30"/>
          <w:szCs w:val="30"/>
        </w:rPr>
        <w:t>1.3</w:t>
      </w:r>
      <w:r>
        <w:rPr>
          <w:rFonts w:hint="eastAsia" w:ascii="Times New Roman" w:hAnsi="Times New Roman" w:eastAsia="仿宋"/>
          <w:sz w:val="30"/>
          <w:szCs w:val="30"/>
        </w:rPr>
        <w:t xml:space="preserve"> 监测</w:t>
      </w:r>
      <w:r>
        <w:rPr>
          <w:rFonts w:ascii="Times New Roman" w:hAnsi="Times New Roman" w:eastAsia="仿宋"/>
          <w:sz w:val="30"/>
          <w:szCs w:val="30"/>
        </w:rPr>
        <w:t>范围</w:t>
      </w:r>
      <w:bookmarkEnd w:id="22"/>
      <w:bookmarkEnd w:id="23"/>
      <w:bookmarkEnd w:id="24"/>
      <w:bookmarkEnd w:id="25"/>
      <w:bookmarkEnd w:id="26"/>
      <w:bookmarkEnd w:id="27"/>
      <w:bookmarkEnd w:id="28"/>
      <w:bookmarkEnd w:id="29"/>
      <w:bookmarkEnd w:id="30"/>
      <w:bookmarkEnd w:id="31"/>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本项目调查范围为双狮（张家港）精细化工有限公司厂区地块内，该场地位于张家港保税区扬子江国际化学工业园长江北路，北侧邻东华能源（张家港）新材料有限公司，西侧临东华能源股份有限公司，东侧为长江北路，南侧为张家港保税物流园区（东区），占地面积925多亩。调查厂区分为生产区和码头区两大区域，其中生产厂区内包含生产装置区、储罐区、充装区、污废水处理区、危废贮存区、辅助功能区、办公区及生活区等；码头区厂区内有生产装置区、储罐区、装卸区、码头区域、办公区等。</w:t>
      </w:r>
      <w:r>
        <w:rPr>
          <w:rFonts w:ascii="Times New Roman" w:hAnsi="Times New Roman" w:eastAsia="仿宋"/>
          <w:sz w:val="24"/>
          <w:szCs w:val="24"/>
        </w:rPr>
        <w:t>项目位置图详见图</w:t>
      </w:r>
      <w:r>
        <w:rPr>
          <w:rFonts w:hint="eastAsia" w:ascii="Times New Roman" w:hAnsi="Times New Roman" w:eastAsia="仿宋"/>
          <w:sz w:val="24"/>
          <w:szCs w:val="24"/>
        </w:rPr>
        <w:t>1.</w:t>
      </w:r>
      <w:r>
        <w:rPr>
          <w:rFonts w:ascii="Times New Roman" w:hAnsi="Times New Roman" w:eastAsia="仿宋"/>
          <w:sz w:val="24"/>
          <w:szCs w:val="24"/>
        </w:rPr>
        <w:t>1，调查范围图详见图</w:t>
      </w:r>
      <w:r>
        <w:rPr>
          <w:rFonts w:hint="eastAsia" w:ascii="Times New Roman" w:hAnsi="Times New Roman" w:eastAsia="仿宋"/>
          <w:sz w:val="24"/>
          <w:szCs w:val="24"/>
        </w:rPr>
        <w:t>1.2</w:t>
      </w:r>
      <w:r>
        <w:rPr>
          <w:rFonts w:ascii="Times New Roman" w:hAnsi="Times New Roman" w:eastAsia="仿宋"/>
          <w:sz w:val="24"/>
          <w:szCs w:val="24"/>
        </w:rPr>
        <w:t>。</w:t>
      </w:r>
    </w:p>
    <w:p>
      <w:pPr>
        <w:jc w:val="center"/>
        <w:rPr>
          <w:rFonts w:ascii="Times New Roman" w:hAnsi="Times New Roman" w:eastAsia="仿宋"/>
          <w:sz w:val="24"/>
          <w:szCs w:val="24"/>
        </w:rPr>
      </w:pPr>
      <w:r>
        <w:drawing>
          <wp:inline distT="0" distB="0" distL="0" distR="0">
            <wp:extent cx="5759450" cy="5088890"/>
            <wp:effectExtent l="0" t="0" r="635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
                    <a:stretch>
                      <a:fillRect/>
                    </a:stretch>
                  </pic:blipFill>
                  <pic:spPr>
                    <a:xfrm>
                      <a:off x="0" y="0"/>
                      <a:ext cx="5760000" cy="5088932"/>
                    </a:xfrm>
                    <a:prstGeom prst="rect">
                      <a:avLst/>
                    </a:prstGeom>
                  </pic:spPr>
                </pic:pic>
              </a:graphicData>
            </a:graphic>
          </wp:inline>
        </w:drawing>
      </w:r>
    </w:p>
    <w:p>
      <w:pPr>
        <w:jc w:val="center"/>
        <w:rPr>
          <w:rFonts w:ascii="Times New Roman" w:hAnsi="Times New Roman" w:eastAsia="仿宋"/>
          <w:b/>
          <w:szCs w:val="21"/>
        </w:rPr>
      </w:pPr>
      <w:r>
        <w:rPr>
          <w:rFonts w:ascii="Times New Roman" w:hAnsi="Times New Roman" w:eastAsia="仿宋"/>
          <w:b/>
          <w:szCs w:val="21"/>
        </w:rPr>
        <w:t>图</w:t>
      </w:r>
      <w:r>
        <w:rPr>
          <w:rFonts w:hint="eastAsia" w:ascii="Times New Roman" w:hAnsi="Times New Roman" w:eastAsia="仿宋"/>
          <w:b/>
          <w:szCs w:val="21"/>
        </w:rPr>
        <w:t>1.1 企业厂区地理位置图</w:t>
      </w:r>
    </w:p>
    <w:p>
      <w:pPr>
        <w:jc w:val="center"/>
        <w:rPr>
          <w:rFonts w:ascii="Times New Roman" w:hAnsi="Times New Roman" w:eastAsia="仿宋"/>
          <w:sz w:val="24"/>
          <w:szCs w:val="28"/>
        </w:rPr>
      </w:pPr>
      <w:r>
        <w:drawing>
          <wp:inline distT="0" distB="0" distL="0" distR="0">
            <wp:extent cx="5939790" cy="5375275"/>
            <wp:effectExtent l="0" t="0" r="3810" b="952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9"/>
                    <a:stretch>
                      <a:fillRect/>
                    </a:stretch>
                  </pic:blipFill>
                  <pic:spPr>
                    <a:xfrm>
                      <a:off x="0" y="0"/>
                      <a:ext cx="5940000" cy="5375309"/>
                    </a:xfrm>
                    <a:prstGeom prst="rect">
                      <a:avLst/>
                    </a:prstGeom>
                  </pic:spPr>
                </pic:pic>
              </a:graphicData>
            </a:graphic>
          </wp:inline>
        </w:drawing>
      </w:r>
    </w:p>
    <w:p>
      <w:pPr>
        <w:jc w:val="center"/>
        <w:rPr>
          <w:rFonts w:ascii="Times New Roman" w:hAnsi="Times New Roman" w:eastAsia="仿宋"/>
          <w:b/>
          <w:szCs w:val="21"/>
        </w:rPr>
      </w:pPr>
      <w:r>
        <w:rPr>
          <w:rFonts w:ascii="Times New Roman" w:hAnsi="Times New Roman" w:eastAsia="仿宋"/>
          <w:b/>
          <w:szCs w:val="21"/>
        </w:rPr>
        <w:t>图</w:t>
      </w:r>
      <w:r>
        <w:rPr>
          <w:rFonts w:hint="eastAsia" w:ascii="Times New Roman" w:hAnsi="Times New Roman" w:eastAsia="仿宋"/>
          <w:b/>
          <w:szCs w:val="21"/>
        </w:rPr>
        <w:t>1.2  企业</w:t>
      </w:r>
      <w:r>
        <w:rPr>
          <w:rFonts w:ascii="Times New Roman" w:hAnsi="Times New Roman" w:eastAsia="仿宋"/>
          <w:b/>
          <w:szCs w:val="21"/>
        </w:rPr>
        <w:t>厂区</w:t>
      </w:r>
      <w:r>
        <w:rPr>
          <w:rFonts w:hint="eastAsia" w:ascii="Times New Roman" w:hAnsi="Times New Roman" w:eastAsia="仿宋"/>
          <w:b/>
          <w:szCs w:val="21"/>
        </w:rPr>
        <w:t>调查</w:t>
      </w:r>
      <w:r>
        <w:rPr>
          <w:rFonts w:ascii="Times New Roman" w:hAnsi="Times New Roman" w:eastAsia="仿宋"/>
          <w:b/>
          <w:szCs w:val="21"/>
        </w:rPr>
        <w:t>范围图</w:t>
      </w:r>
    </w:p>
    <w:p>
      <w:pPr>
        <w:pStyle w:val="3"/>
        <w:spacing w:before="120" w:after="120" w:line="360" w:lineRule="auto"/>
        <w:rPr>
          <w:rFonts w:ascii="Times New Roman" w:hAnsi="Times New Roman" w:eastAsia="仿宋"/>
          <w:b w:val="0"/>
          <w:sz w:val="28"/>
          <w:szCs w:val="28"/>
        </w:rPr>
      </w:pPr>
      <w:bookmarkStart w:id="32" w:name="_Toc28043"/>
      <w:bookmarkStart w:id="33" w:name="_Toc9836"/>
      <w:bookmarkStart w:id="34" w:name="_Toc512351170"/>
      <w:bookmarkStart w:id="35" w:name="_Toc29607"/>
      <w:bookmarkStart w:id="36" w:name="_Toc498199421"/>
      <w:bookmarkStart w:id="37" w:name="_Toc427516410"/>
      <w:bookmarkStart w:id="38" w:name="_Toc27724"/>
      <w:bookmarkStart w:id="39" w:name="_Toc24224"/>
      <w:bookmarkStart w:id="40" w:name="_Toc24923"/>
      <w:bookmarkStart w:id="41" w:name="_Toc434353287"/>
      <w:r>
        <w:rPr>
          <w:rFonts w:ascii="Times New Roman" w:hAnsi="Times New Roman" w:eastAsia="仿宋"/>
          <w:sz w:val="28"/>
          <w:szCs w:val="28"/>
        </w:rPr>
        <w:t>1.4</w:t>
      </w:r>
      <w:r>
        <w:rPr>
          <w:rFonts w:hint="eastAsia" w:ascii="Times New Roman" w:hAnsi="Times New Roman" w:eastAsia="仿宋"/>
          <w:sz w:val="28"/>
          <w:szCs w:val="28"/>
        </w:rPr>
        <w:t xml:space="preserve"> 监测</w:t>
      </w:r>
      <w:r>
        <w:rPr>
          <w:rFonts w:ascii="Times New Roman" w:hAnsi="Times New Roman" w:eastAsia="仿宋"/>
          <w:sz w:val="28"/>
          <w:szCs w:val="28"/>
        </w:rPr>
        <w:t>依据</w:t>
      </w:r>
      <w:bookmarkEnd w:id="32"/>
      <w:bookmarkEnd w:id="33"/>
      <w:bookmarkEnd w:id="34"/>
      <w:bookmarkEnd w:id="35"/>
      <w:bookmarkEnd w:id="36"/>
      <w:bookmarkEnd w:id="37"/>
      <w:bookmarkEnd w:id="38"/>
      <w:bookmarkEnd w:id="39"/>
      <w:bookmarkEnd w:id="40"/>
      <w:bookmarkEnd w:id="41"/>
    </w:p>
    <w:p>
      <w:pPr>
        <w:pStyle w:val="4"/>
        <w:spacing w:before="156" w:beforeLines="50" w:after="156" w:afterLines="50" w:line="360" w:lineRule="auto"/>
        <w:jc w:val="left"/>
        <w:rPr>
          <w:rFonts w:ascii="Times New Roman" w:hAnsi="Times New Roman" w:eastAsia="仿宋"/>
          <w:sz w:val="24"/>
          <w:szCs w:val="24"/>
        </w:rPr>
      </w:pPr>
      <w:bookmarkStart w:id="42" w:name="_Toc43302916"/>
      <w:bookmarkStart w:id="43" w:name="_Toc10625"/>
      <w:bookmarkStart w:id="44" w:name="_Toc498199422"/>
      <w:bookmarkStart w:id="45" w:name="_Toc28350"/>
      <w:bookmarkStart w:id="46" w:name="_Toc512351171"/>
      <w:bookmarkStart w:id="47" w:name="_Toc17626"/>
      <w:bookmarkStart w:id="48" w:name="_Toc14227"/>
      <w:bookmarkStart w:id="49" w:name="_Toc28052"/>
      <w:r>
        <w:rPr>
          <w:rFonts w:ascii="Times New Roman" w:hAnsi="Times New Roman" w:eastAsia="仿宋"/>
          <w:sz w:val="24"/>
          <w:szCs w:val="24"/>
        </w:rPr>
        <w:t>1.4.1 法律、法规及相关政策</w:t>
      </w:r>
      <w:bookmarkEnd w:id="42"/>
      <w:bookmarkEnd w:id="43"/>
    </w:p>
    <w:p>
      <w:pPr>
        <w:spacing w:line="360" w:lineRule="auto"/>
        <w:jc w:val="left"/>
        <w:rPr>
          <w:rFonts w:ascii="Times New Roman" w:hAnsi="Times New Roman" w:eastAsia="仿宋"/>
          <w:sz w:val="24"/>
          <w:szCs w:val="24"/>
        </w:rPr>
      </w:pPr>
      <w:r>
        <w:rPr>
          <w:rFonts w:ascii="Times New Roman" w:hAnsi="Times New Roman" w:eastAsia="仿宋"/>
          <w:sz w:val="24"/>
          <w:szCs w:val="24"/>
        </w:rPr>
        <w:t>《中华人民共和国土壤污染防治法》(2019年1月1日)；</w:t>
      </w:r>
    </w:p>
    <w:p>
      <w:pPr>
        <w:spacing w:line="360" w:lineRule="auto"/>
        <w:jc w:val="left"/>
        <w:rPr>
          <w:rFonts w:ascii="Times New Roman" w:hAnsi="Times New Roman" w:eastAsia="仿宋"/>
          <w:sz w:val="24"/>
          <w:szCs w:val="24"/>
        </w:rPr>
      </w:pPr>
      <w:r>
        <w:rPr>
          <w:rFonts w:ascii="Times New Roman" w:hAnsi="Times New Roman" w:eastAsia="仿宋"/>
          <w:sz w:val="24"/>
          <w:szCs w:val="24"/>
        </w:rPr>
        <w:t>《土壤污染防治行动计划》(国发［2016］31号)；</w:t>
      </w:r>
    </w:p>
    <w:p>
      <w:pPr>
        <w:spacing w:line="360" w:lineRule="auto"/>
        <w:jc w:val="left"/>
        <w:rPr>
          <w:rFonts w:ascii="Times New Roman" w:hAnsi="Times New Roman" w:eastAsia="仿宋"/>
          <w:sz w:val="24"/>
          <w:szCs w:val="24"/>
        </w:rPr>
      </w:pPr>
      <w:r>
        <w:rPr>
          <w:rFonts w:ascii="Times New Roman" w:hAnsi="Times New Roman" w:eastAsia="仿宋"/>
          <w:sz w:val="24"/>
          <w:szCs w:val="24"/>
        </w:rPr>
        <w:t>《污染地块土壤环境管理办法（试行）》（环保部令第42号）；</w:t>
      </w:r>
    </w:p>
    <w:p>
      <w:pPr>
        <w:spacing w:line="360" w:lineRule="auto"/>
        <w:jc w:val="left"/>
        <w:rPr>
          <w:rFonts w:ascii="Times New Roman" w:hAnsi="Times New Roman" w:eastAsia="仿宋"/>
          <w:sz w:val="24"/>
          <w:szCs w:val="24"/>
        </w:rPr>
      </w:pPr>
      <w:r>
        <w:rPr>
          <w:rFonts w:ascii="Times New Roman" w:hAnsi="Times New Roman" w:eastAsia="仿宋"/>
          <w:sz w:val="24"/>
          <w:szCs w:val="24"/>
        </w:rPr>
        <w:t>《工矿用地土壤环境管理办法（试行）》（部令第3号）；</w:t>
      </w:r>
    </w:p>
    <w:p>
      <w:pPr>
        <w:spacing w:line="360" w:lineRule="auto"/>
        <w:jc w:val="left"/>
        <w:rPr>
          <w:rFonts w:ascii="Times New Roman" w:hAnsi="Times New Roman" w:eastAsia="仿宋"/>
          <w:sz w:val="24"/>
          <w:szCs w:val="24"/>
        </w:rPr>
      </w:pPr>
      <w:r>
        <w:rPr>
          <w:rFonts w:ascii="Times New Roman" w:hAnsi="Times New Roman" w:eastAsia="仿宋"/>
          <w:sz w:val="24"/>
          <w:szCs w:val="24"/>
        </w:rPr>
        <w:t>《关于保障工业企业场地再开发利用环境安全的通知》（环发［2012］140号）；</w:t>
      </w:r>
    </w:p>
    <w:p>
      <w:pPr>
        <w:spacing w:line="360" w:lineRule="auto"/>
        <w:jc w:val="left"/>
        <w:rPr>
          <w:rFonts w:ascii="Times New Roman" w:hAnsi="Times New Roman" w:eastAsia="仿宋"/>
          <w:sz w:val="24"/>
          <w:szCs w:val="24"/>
        </w:rPr>
      </w:pPr>
      <w:r>
        <w:rPr>
          <w:rFonts w:ascii="Times New Roman" w:hAnsi="Times New Roman" w:eastAsia="仿宋"/>
          <w:sz w:val="24"/>
          <w:szCs w:val="24"/>
        </w:rPr>
        <w:t>《中华人民共和国固体废物污染环境防治法》（2015年4月24日）；</w:t>
      </w:r>
    </w:p>
    <w:p>
      <w:pPr>
        <w:spacing w:line="360" w:lineRule="auto"/>
        <w:jc w:val="left"/>
        <w:rPr>
          <w:rFonts w:ascii="Times New Roman" w:hAnsi="Times New Roman" w:eastAsia="仿宋"/>
          <w:sz w:val="24"/>
          <w:szCs w:val="24"/>
        </w:rPr>
      </w:pPr>
      <w:r>
        <w:rPr>
          <w:rFonts w:ascii="Times New Roman" w:hAnsi="Times New Roman" w:eastAsia="仿宋"/>
          <w:sz w:val="24"/>
          <w:szCs w:val="24"/>
        </w:rPr>
        <w:t>《建设用地土壤污染责任人认定办法（试行）》（征求意见稿）；</w:t>
      </w:r>
    </w:p>
    <w:p>
      <w:pPr>
        <w:spacing w:line="360" w:lineRule="auto"/>
        <w:jc w:val="left"/>
        <w:rPr>
          <w:rFonts w:ascii="Times New Roman" w:hAnsi="Times New Roman" w:eastAsia="仿宋"/>
          <w:sz w:val="24"/>
          <w:szCs w:val="24"/>
        </w:rPr>
      </w:pPr>
      <w:r>
        <w:rPr>
          <w:rFonts w:ascii="Times New Roman" w:hAnsi="Times New Roman" w:eastAsia="仿宋"/>
          <w:sz w:val="24"/>
          <w:szCs w:val="24"/>
        </w:rPr>
        <w:t>《国家危险废物名录》（2016年8月1日）；</w:t>
      </w:r>
    </w:p>
    <w:p>
      <w:pPr>
        <w:spacing w:line="360" w:lineRule="auto"/>
        <w:jc w:val="left"/>
        <w:rPr>
          <w:rFonts w:ascii="Times New Roman" w:hAnsi="Times New Roman" w:eastAsia="仿宋"/>
          <w:sz w:val="24"/>
          <w:szCs w:val="24"/>
        </w:rPr>
      </w:pPr>
      <w:r>
        <w:rPr>
          <w:rFonts w:ascii="Times New Roman" w:hAnsi="Times New Roman" w:eastAsia="仿宋"/>
          <w:sz w:val="24"/>
          <w:szCs w:val="24"/>
        </w:rPr>
        <w:t>《江苏省土壤污染防治工作方案》（苏政发［2016］169号）；</w:t>
      </w:r>
    </w:p>
    <w:p>
      <w:pPr>
        <w:spacing w:line="360" w:lineRule="auto"/>
        <w:jc w:val="left"/>
        <w:rPr>
          <w:rFonts w:ascii="Times New Roman" w:hAnsi="Times New Roman" w:eastAsia="仿宋"/>
          <w:sz w:val="24"/>
          <w:szCs w:val="24"/>
        </w:rPr>
      </w:pPr>
      <w:r>
        <w:rPr>
          <w:rFonts w:ascii="Times New Roman" w:hAnsi="Times New Roman" w:eastAsia="仿宋"/>
          <w:sz w:val="24"/>
          <w:szCs w:val="24"/>
        </w:rPr>
        <w:t>《苏州市土壤污染防治工作方案》（苏府［2017］102号）；</w:t>
      </w:r>
    </w:p>
    <w:p>
      <w:pPr>
        <w:spacing w:line="360" w:lineRule="auto"/>
        <w:jc w:val="left"/>
        <w:rPr>
          <w:rFonts w:ascii="Times New Roman" w:hAnsi="Times New Roman" w:eastAsia="仿宋"/>
          <w:sz w:val="24"/>
          <w:szCs w:val="24"/>
        </w:rPr>
      </w:pPr>
      <w:r>
        <w:rPr>
          <w:rFonts w:hint="eastAsia" w:ascii="Times New Roman" w:hAnsi="Times New Roman" w:eastAsia="仿宋"/>
          <w:sz w:val="24"/>
          <w:szCs w:val="24"/>
        </w:rPr>
        <w:t>《关于印发2020年苏州市重点排污单位名单的通知》（苏环综字[2020]6号）；</w:t>
      </w:r>
    </w:p>
    <w:p>
      <w:pPr>
        <w:spacing w:line="360" w:lineRule="auto"/>
        <w:jc w:val="left"/>
        <w:rPr>
          <w:rFonts w:ascii="Times New Roman" w:hAnsi="Times New Roman" w:eastAsia="仿宋"/>
          <w:sz w:val="24"/>
          <w:szCs w:val="24"/>
        </w:rPr>
      </w:pPr>
      <w:r>
        <w:rPr>
          <w:rFonts w:hint="eastAsia" w:ascii="Times New Roman" w:hAnsi="Times New Roman" w:eastAsia="仿宋"/>
          <w:sz w:val="24"/>
          <w:szCs w:val="24"/>
        </w:rPr>
        <w:t>《张家港市土壤污染防治工作方案》（张政发［2017］106号）；</w:t>
      </w:r>
    </w:p>
    <w:p>
      <w:pPr>
        <w:spacing w:line="360" w:lineRule="auto"/>
        <w:jc w:val="left"/>
        <w:rPr>
          <w:rFonts w:ascii="Times New Roman" w:hAnsi="Times New Roman" w:eastAsia="仿宋"/>
          <w:sz w:val="24"/>
          <w:szCs w:val="24"/>
        </w:rPr>
      </w:pPr>
      <w:r>
        <w:rPr>
          <w:rFonts w:hint="eastAsia" w:ascii="Times New Roman" w:hAnsi="Times New Roman" w:eastAsia="仿宋"/>
          <w:sz w:val="24"/>
          <w:szCs w:val="24"/>
        </w:rPr>
        <w:t>《关于进一步加强土壤污染重点监管单位环境管理的通知》（张环发[2020]125号）</w:t>
      </w:r>
      <w:r>
        <w:rPr>
          <w:rFonts w:ascii="Times New Roman" w:hAnsi="Times New Roman" w:eastAsia="仿宋"/>
          <w:sz w:val="24"/>
          <w:szCs w:val="24"/>
        </w:rPr>
        <w:t>。</w:t>
      </w:r>
    </w:p>
    <w:p>
      <w:pPr>
        <w:pStyle w:val="4"/>
        <w:spacing w:before="156" w:beforeLines="50" w:after="156" w:afterLines="50" w:line="360" w:lineRule="auto"/>
        <w:jc w:val="left"/>
        <w:rPr>
          <w:rFonts w:ascii="Times New Roman" w:hAnsi="Times New Roman" w:eastAsia="仿宋"/>
          <w:sz w:val="24"/>
          <w:szCs w:val="24"/>
        </w:rPr>
      </w:pPr>
      <w:bookmarkStart w:id="50" w:name="_Toc43302917"/>
      <w:bookmarkStart w:id="51" w:name="_Toc29482"/>
      <w:r>
        <w:rPr>
          <w:rFonts w:ascii="Times New Roman" w:hAnsi="Times New Roman" w:eastAsia="仿宋"/>
          <w:sz w:val="24"/>
          <w:szCs w:val="24"/>
        </w:rPr>
        <w:t>1.4.2 技术导则、标准及规范</w:t>
      </w:r>
      <w:bookmarkEnd w:id="50"/>
      <w:bookmarkEnd w:id="51"/>
    </w:p>
    <w:p>
      <w:pPr>
        <w:spacing w:line="360" w:lineRule="auto"/>
        <w:jc w:val="left"/>
        <w:rPr>
          <w:rFonts w:ascii="Times New Roman" w:hAnsi="Times New Roman" w:eastAsia="仿宋"/>
          <w:sz w:val="24"/>
          <w:szCs w:val="24"/>
        </w:rPr>
      </w:pPr>
      <w:r>
        <w:rPr>
          <w:rFonts w:ascii="Times New Roman" w:hAnsi="Times New Roman" w:eastAsia="仿宋"/>
          <w:sz w:val="24"/>
          <w:szCs w:val="24"/>
        </w:rPr>
        <w:t>《建设用地土壤污染状况调查技术导则》（HJ25.1-2019）；</w:t>
      </w:r>
    </w:p>
    <w:p>
      <w:pPr>
        <w:spacing w:line="360" w:lineRule="auto"/>
        <w:jc w:val="left"/>
        <w:rPr>
          <w:rFonts w:ascii="Times New Roman" w:hAnsi="Times New Roman" w:eastAsia="仿宋"/>
          <w:sz w:val="24"/>
          <w:szCs w:val="24"/>
        </w:rPr>
      </w:pPr>
      <w:r>
        <w:rPr>
          <w:rFonts w:ascii="Times New Roman" w:hAnsi="Times New Roman" w:eastAsia="仿宋"/>
          <w:sz w:val="24"/>
          <w:szCs w:val="24"/>
        </w:rPr>
        <w:t>《建设用地土壤污染风险管控和修复 监测技术导则》（HJ25.2-2019）；</w:t>
      </w:r>
    </w:p>
    <w:p>
      <w:pPr>
        <w:spacing w:line="360" w:lineRule="auto"/>
        <w:jc w:val="left"/>
        <w:rPr>
          <w:rFonts w:ascii="Times New Roman" w:hAnsi="Times New Roman" w:eastAsia="仿宋"/>
          <w:sz w:val="24"/>
          <w:szCs w:val="24"/>
        </w:rPr>
      </w:pPr>
      <w:r>
        <w:rPr>
          <w:rFonts w:ascii="Times New Roman" w:hAnsi="Times New Roman" w:eastAsia="仿宋"/>
          <w:sz w:val="24"/>
          <w:szCs w:val="24"/>
        </w:rPr>
        <w:t>《环境影响评价技术导则 土壤环境（试行）》（HJ964-2018）；</w:t>
      </w:r>
    </w:p>
    <w:p>
      <w:pPr>
        <w:spacing w:line="360" w:lineRule="auto"/>
        <w:jc w:val="left"/>
        <w:rPr>
          <w:rFonts w:ascii="Times New Roman" w:hAnsi="Times New Roman" w:eastAsia="仿宋"/>
          <w:sz w:val="24"/>
          <w:szCs w:val="24"/>
        </w:rPr>
      </w:pPr>
      <w:r>
        <w:rPr>
          <w:rFonts w:ascii="Times New Roman" w:hAnsi="Times New Roman" w:eastAsia="仿宋"/>
          <w:sz w:val="24"/>
          <w:szCs w:val="24"/>
        </w:rPr>
        <w:t>《建设用地土壤污染风险评估技术导则》（HJ25.3-2019）；</w:t>
      </w:r>
    </w:p>
    <w:p>
      <w:pPr>
        <w:spacing w:line="360" w:lineRule="auto"/>
        <w:jc w:val="left"/>
        <w:rPr>
          <w:rFonts w:ascii="Times New Roman" w:hAnsi="Times New Roman" w:eastAsia="仿宋"/>
          <w:sz w:val="24"/>
          <w:szCs w:val="24"/>
        </w:rPr>
      </w:pPr>
      <w:r>
        <w:rPr>
          <w:rFonts w:ascii="Times New Roman" w:hAnsi="Times New Roman" w:eastAsia="仿宋"/>
          <w:sz w:val="24"/>
          <w:szCs w:val="24"/>
        </w:rPr>
        <w:t>《地块土壤和地下水中挥发性有机物采样技术导则》（HJ1019-2019）；</w:t>
      </w:r>
    </w:p>
    <w:p>
      <w:pPr>
        <w:spacing w:line="360" w:lineRule="auto"/>
        <w:jc w:val="left"/>
        <w:rPr>
          <w:rFonts w:ascii="Times New Roman" w:hAnsi="Times New Roman" w:eastAsia="仿宋"/>
          <w:sz w:val="24"/>
          <w:szCs w:val="24"/>
        </w:rPr>
      </w:pPr>
      <w:r>
        <w:rPr>
          <w:rFonts w:ascii="Times New Roman" w:hAnsi="Times New Roman" w:eastAsia="仿宋"/>
          <w:sz w:val="24"/>
          <w:szCs w:val="24"/>
        </w:rPr>
        <w:t>《土壤环境监测技术规范》（HJ/T 166-2004）；</w:t>
      </w:r>
    </w:p>
    <w:p>
      <w:pPr>
        <w:spacing w:line="360" w:lineRule="auto"/>
        <w:jc w:val="left"/>
        <w:rPr>
          <w:rFonts w:ascii="Times New Roman" w:hAnsi="Times New Roman" w:eastAsia="仿宋"/>
          <w:sz w:val="24"/>
          <w:szCs w:val="24"/>
        </w:rPr>
      </w:pPr>
      <w:r>
        <w:rPr>
          <w:rFonts w:ascii="Times New Roman" w:hAnsi="Times New Roman" w:eastAsia="仿宋"/>
          <w:sz w:val="24"/>
          <w:szCs w:val="24"/>
        </w:rPr>
        <w:t>《地下水环境监测技术规范》（HJ/T 164-2004）；</w:t>
      </w:r>
    </w:p>
    <w:p>
      <w:pPr>
        <w:spacing w:line="360" w:lineRule="auto"/>
        <w:jc w:val="left"/>
        <w:rPr>
          <w:rFonts w:ascii="Times New Roman" w:hAnsi="Times New Roman" w:eastAsia="仿宋"/>
          <w:sz w:val="24"/>
          <w:szCs w:val="24"/>
        </w:rPr>
      </w:pPr>
      <w:r>
        <w:rPr>
          <w:rFonts w:ascii="Times New Roman" w:hAnsi="Times New Roman" w:eastAsia="仿宋"/>
          <w:sz w:val="24"/>
          <w:szCs w:val="24"/>
        </w:rPr>
        <w:t>《工业企业土壤污染隐患排查和整改指南》；</w:t>
      </w:r>
    </w:p>
    <w:p>
      <w:pPr>
        <w:spacing w:line="360" w:lineRule="auto"/>
        <w:jc w:val="left"/>
        <w:rPr>
          <w:rFonts w:ascii="Times New Roman" w:hAnsi="Times New Roman" w:eastAsia="仿宋"/>
          <w:sz w:val="24"/>
          <w:szCs w:val="24"/>
        </w:rPr>
      </w:pPr>
      <w:r>
        <w:rPr>
          <w:rFonts w:ascii="Times New Roman" w:hAnsi="Times New Roman" w:eastAsia="仿宋"/>
          <w:sz w:val="24"/>
          <w:szCs w:val="24"/>
        </w:rPr>
        <w:t>《地下水环境状况调查评价工作指南》；</w:t>
      </w:r>
    </w:p>
    <w:p>
      <w:pPr>
        <w:spacing w:line="360" w:lineRule="auto"/>
        <w:jc w:val="left"/>
        <w:rPr>
          <w:rFonts w:ascii="Times New Roman" w:hAnsi="Times New Roman" w:eastAsia="仿宋"/>
          <w:sz w:val="24"/>
          <w:szCs w:val="24"/>
        </w:rPr>
      </w:pPr>
      <w:r>
        <w:rPr>
          <w:rFonts w:ascii="Times New Roman" w:hAnsi="Times New Roman" w:eastAsia="仿宋"/>
          <w:sz w:val="24"/>
          <w:szCs w:val="24"/>
        </w:rPr>
        <w:t>《在产企业土壤和地下水自行监测技术指南（报批稿）》；</w:t>
      </w:r>
    </w:p>
    <w:p>
      <w:pPr>
        <w:spacing w:line="360" w:lineRule="auto"/>
        <w:jc w:val="left"/>
        <w:rPr>
          <w:rFonts w:ascii="Times New Roman" w:hAnsi="Times New Roman" w:eastAsia="仿宋"/>
          <w:sz w:val="24"/>
          <w:szCs w:val="24"/>
        </w:rPr>
      </w:pPr>
      <w:r>
        <w:rPr>
          <w:rFonts w:ascii="Times New Roman" w:hAnsi="Times New Roman" w:eastAsia="仿宋"/>
          <w:sz w:val="24"/>
          <w:szCs w:val="24"/>
        </w:rPr>
        <w:t>《工业企业场地环境调查评估与修复工作指南（试行）》；</w:t>
      </w:r>
    </w:p>
    <w:p>
      <w:pPr>
        <w:spacing w:line="360" w:lineRule="auto"/>
        <w:jc w:val="left"/>
        <w:rPr>
          <w:rFonts w:ascii="Times New Roman" w:hAnsi="Times New Roman" w:eastAsia="仿宋"/>
          <w:sz w:val="24"/>
          <w:szCs w:val="24"/>
        </w:rPr>
      </w:pPr>
      <w:r>
        <w:rPr>
          <w:rFonts w:ascii="Times New Roman" w:hAnsi="Times New Roman" w:eastAsia="仿宋"/>
          <w:sz w:val="24"/>
          <w:szCs w:val="24"/>
        </w:rPr>
        <w:t>《土壤环境质量 建设用地土壤污染风险管控标准(试行)》(GB 36600-2018)；</w:t>
      </w:r>
    </w:p>
    <w:p>
      <w:pPr>
        <w:spacing w:line="360" w:lineRule="auto"/>
        <w:jc w:val="left"/>
        <w:rPr>
          <w:rFonts w:ascii="Times New Roman" w:hAnsi="Times New Roman" w:eastAsia="仿宋"/>
          <w:sz w:val="24"/>
          <w:szCs w:val="24"/>
        </w:rPr>
      </w:pPr>
      <w:r>
        <w:rPr>
          <w:rFonts w:ascii="Times New Roman" w:hAnsi="Times New Roman" w:eastAsia="仿宋"/>
          <w:sz w:val="24"/>
          <w:szCs w:val="24"/>
        </w:rPr>
        <w:t>《地下水质量标准》(GB/T 14848-2017)；</w:t>
      </w:r>
    </w:p>
    <w:p>
      <w:pPr>
        <w:spacing w:line="360" w:lineRule="auto"/>
        <w:jc w:val="left"/>
        <w:rPr>
          <w:rFonts w:ascii="Times New Roman" w:hAnsi="Times New Roman" w:eastAsia="仿宋"/>
          <w:sz w:val="24"/>
          <w:szCs w:val="24"/>
        </w:rPr>
      </w:pPr>
      <w:r>
        <w:rPr>
          <w:rFonts w:ascii="Times New Roman" w:hAnsi="Times New Roman" w:eastAsia="仿宋"/>
          <w:sz w:val="24"/>
          <w:szCs w:val="24"/>
        </w:rPr>
        <w:t>《土壤环境监测技术规范》（HJ/T 166-2004）；</w:t>
      </w:r>
    </w:p>
    <w:p>
      <w:pPr>
        <w:spacing w:line="360" w:lineRule="auto"/>
        <w:jc w:val="left"/>
        <w:rPr>
          <w:rFonts w:ascii="Times New Roman" w:hAnsi="Times New Roman" w:eastAsia="仿宋"/>
          <w:sz w:val="24"/>
          <w:szCs w:val="24"/>
        </w:rPr>
      </w:pPr>
      <w:r>
        <w:rPr>
          <w:rFonts w:ascii="Times New Roman" w:hAnsi="Times New Roman" w:eastAsia="仿宋"/>
          <w:sz w:val="24"/>
          <w:szCs w:val="24"/>
        </w:rPr>
        <w:t>《水质采样技术指导》(HJ 494-2009)；</w:t>
      </w:r>
    </w:p>
    <w:p>
      <w:pPr>
        <w:spacing w:line="360" w:lineRule="auto"/>
        <w:jc w:val="left"/>
        <w:rPr>
          <w:rFonts w:ascii="Times New Roman" w:hAnsi="Times New Roman" w:eastAsia="仿宋"/>
          <w:sz w:val="24"/>
          <w:szCs w:val="24"/>
        </w:rPr>
      </w:pPr>
      <w:r>
        <w:rPr>
          <w:rFonts w:ascii="Times New Roman" w:hAnsi="Times New Roman" w:eastAsia="仿宋"/>
          <w:sz w:val="24"/>
          <w:szCs w:val="24"/>
        </w:rPr>
        <w:t>《水质采样-样品的保存和管理技术规定》(HJ 493-2009)；</w:t>
      </w:r>
    </w:p>
    <w:p>
      <w:pPr>
        <w:spacing w:line="360" w:lineRule="auto"/>
        <w:jc w:val="left"/>
        <w:rPr>
          <w:rFonts w:ascii="Times New Roman" w:hAnsi="Times New Roman" w:eastAsia="仿宋"/>
          <w:sz w:val="24"/>
          <w:szCs w:val="24"/>
        </w:rPr>
      </w:pPr>
      <w:r>
        <w:rPr>
          <w:rFonts w:ascii="Times New Roman" w:hAnsi="Times New Roman" w:eastAsia="仿宋"/>
          <w:sz w:val="24"/>
          <w:szCs w:val="24"/>
        </w:rPr>
        <w:t>《大气污染物综合排放标准》（GB16297-1996）；</w:t>
      </w:r>
    </w:p>
    <w:p>
      <w:pPr>
        <w:spacing w:line="360" w:lineRule="auto"/>
        <w:jc w:val="left"/>
        <w:rPr>
          <w:rFonts w:ascii="Times New Roman" w:hAnsi="Times New Roman" w:eastAsia="仿宋"/>
          <w:sz w:val="24"/>
          <w:szCs w:val="24"/>
        </w:rPr>
      </w:pPr>
      <w:r>
        <w:rPr>
          <w:rFonts w:ascii="Times New Roman" w:hAnsi="Times New Roman" w:eastAsia="仿宋"/>
          <w:sz w:val="24"/>
          <w:szCs w:val="24"/>
        </w:rPr>
        <w:t>《一般工业固体废物贮存、处置场污染控制标准》（GB18599-2001）；</w:t>
      </w:r>
    </w:p>
    <w:p>
      <w:pPr>
        <w:spacing w:line="360" w:lineRule="auto"/>
        <w:jc w:val="left"/>
        <w:rPr>
          <w:rFonts w:ascii="Times New Roman" w:hAnsi="Times New Roman" w:eastAsia="仿宋"/>
          <w:sz w:val="24"/>
          <w:szCs w:val="24"/>
        </w:rPr>
      </w:pPr>
      <w:r>
        <w:rPr>
          <w:rFonts w:ascii="Times New Roman" w:hAnsi="Times New Roman" w:eastAsia="仿宋"/>
          <w:sz w:val="24"/>
          <w:szCs w:val="24"/>
        </w:rPr>
        <w:t>《危险废物贮存污染控制标准》（GB18597-2001）；</w:t>
      </w:r>
    </w:p>
    <w:p>
      <w:pPr>
        <w:spacing w:line="360" w:lineRule="auto"/>
        <w:jc w:val="left"/>
        <w:rPr>
          <w:rFonts w:ascii="Times New Roman" w:hAnsi="Times New Roman" w:eastAsia="仿宋"/>
          <w:sz w:val="24"/>
          <w:szCs w:val="24"/>
        </w:rPr>
      </w:pPr>
      <w:r>
        <w:rPr>
          <w:rFonts w:ascii="Times New Roman" w:hAnsi="Times New Roman" w:eastAsia="仿宋"/>
          <w:sz w:val="24"/>
          <w:szCs w:val="24"/>
        </w:rPr>
        <w:t>《上海市建设用地土壤污染状况调查、风险评估、风险管控与修复方案编制、风险管控与修复效果评估工作的补充规定（试行）》（沪环土[2020]62号）；</w:t>
      </w:r>
    </w:p>
    <w:p>
      <w:pPr>
        <w:spacing w:line="360" w:lineRule="auto"/>
        <w:jc w:val="left"/>
        <w:rPr>
          <w:rFonts w:ascii="Times New Roman" w:hAnsi="Times New Roman" w:eastAsia="仿宋"/>
          <w:sz w:val="24"/>
          <w:szCs w:val="24"/>
        </w:rPr>
      </w:pPr>
      <w:r>
        <w:rPr>
          <w:rFonts w:ascii="Times New Roman" w:hAnsi="Times New Roman" w:eastAsia="仿宋"/>
          <w:sz w:val="24"/>
          <w:szCs w:val="24"/>
        </w:rPr>
        <w:t>《场地土壤环境风险评价筛选值》（DB11/T 811-2011）。</w:t>
      </w:r>
    </w:p>
    <w:p>
      <w:pPr>
        <w:pStyle w:val="4"/>
        <w:spacing w:before="156" w:beforeLines="50" w:after="156" w:afterLines="50" w:line="360" w:lineRule="auto"/>
        <w:jc w:val="left"/>
        <w:rPr>
          <w:rFonts w:ascii="Times New Roman" w:hAnsi="Times New Roman" w:eastAsia="仿宋"/>
          <w:sz w:val="24"/>
          <w:szCs w:val="24"/>
        </w:rPr>
      </w:pPr>
      <w:bookmarkStart w:id="52" w:name="_Toc43302918"/>
      <w:bookmarkStart w:id="53" w:name="_Toc11136"/>
      <w:r>
        <w:rPr>
          <w:rFonts w:ascii="Times New Roman" w:hAnsi="Times New Roman" w:eastAsia="仿宋"/>
          <w:sz w:val="24"/>
          <w:szCs w:val="24"/>
        </w:rPr>
        <w:t>1.4.3 其他相关文件</w:t>
      </w:r>
      <w:bookmarkEnd w:id="52"/>
      <w:bookmarkEnd w:id="53"/>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《双狮（张家港）精细化工有限公司突发环境事件应急预案》；</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《双狮（张家港）精细化工有限公司安全现状评价报告》；</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《双狮（张家港）精细化工有限公司清洁生产审核评估报告》；</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《双狮（张家港）精细化工有限公司100万吨/年带热回收系统硫磺制酸项目，50MW/h热电项目，9.5万吨/年氯系列产品项目环境影响报告书》；</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《双狮（张家港）精细化工有限公司130万吨／年带热回收系统的硫磺制酸项目及其配套工程环境影响报告书》；</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《双狮（张家港）精细化工有限公司15万吨/年有机氯系列化工产品生产项目环境影响报告书》；</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《双狮（张家港）精细化工有限公司废水、工业废气、厂界噪声监检测报告》（E19080176）。</w:t>
      </w:r>
    </w:p>
    <w:p>
      <w:pPr>
        <w:pStyle w:val="3"/>
        <w:spacing w:before="120" w:after="120" w:line="360" w:lineRule="auto"/>
        <w:rPr>
          <w:rFonts w:ascii="Times New Roman" w:hAnsi="Times New Roman" w:eastAsia="仿宋"/>
          <w:sz w:val="30"/>
          <w:szCs w:val="30"/>
        </w:rPr>
      </w:pPr>
      <w:bookmarkStart w:id="54" w:name="_Toc22719"/>
      <w:r>
        <w:rPr>
          <w:rFonts w:ascii="Times New Roman" w:hAnsi="Times New Roman" w:eastAsia="仿宋"/>
          <w:sz w:val="30"/>
          <w:szCs w:val="30"/>
        </w:rPr>
        <w:t>1.5</w:t>
      </w:r>
      <w:r>
        <w:rPr>
          <w:rFonts w:hint="eastAsia" w:ascii="Times New Roman" w:hAnsi="Times New Roman" w:eastAsia="仿宋"/>
          <w:sz w:val="30"/>
          <w:szCs w:val="30"/>
        </w:rPr>
        <w:t xml:space="preserve"> 调查</w:t>
      </w:r>
      <w:r>
        <w:rPr>
          <w:rFonts w:ascii="Times New Roman" w:hAnsi="Times New Roman" w:eastAsia="仿宋"/>
          <w:sz w:val="30"/>
          <w:szCs w:val="30"/>
        </w:rPr>
        <w:t>目的</w:t>
      </w:r>
      <w:bookmarkEnd w:id="44"/>
      <w:bookmarkEnd w:id="45"/>
      <w:bookmarkEnd w:id="46"/>
      <w:bookmarkEnd w:id="47"/>
      <w:bookmarkEnd w:id="48"/>
      <w:bookmarkEnd w:id="49"/>
      <w:bookmarkEnd w:id="54"/>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1、通过资料分析、现场踏勘，初步判断企业地块在前期的生产经营活动中是否存在土壤污染风险。</w:t>
      </w:r>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2、通过现场采样及实验室检测，分析项目地块土壤是否存在污染，若存在污染，则筛选出主要污染因子，判定污染程度并划定大致污染分布。</w:t>
      </w:r>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3</w:t>
      </w:r>
      <w:r>
        <w:rPr>
          <w:rFonts w:ascii="Times New Roman" w:hAnsi="Times New Roman" w:eastAsia="仿宋"/>
          <w:sz w:val="24"/>
          <w:szCs w:val="24"/>
        </w:rPr>
        <w:t>、编制场地土壤及地下水环境</w:t>
      </w:r>
      <w:r>
        <w:rPr>
          <w:rFonts w:hint="eastAsia" w:ascii="Times New Roman" w:hAnsi="Times New Roman" w:eastAsia="仿宋"/>
          <w:sz w:val="24"/>
          <w:szCs w:val="24"/>
        </w:rPr>
        <w:t>自行监测</w:t>
      </w:r>
      <w:r>
        <w:rPr>
          <w:rFonts w:ascii="Times New Roman" w:hAnsi="Times New Roman" w:eastAsia="仿宋"/>
          <w:sz w:val="24"/>
          <w:szCs w:val="24"/>
        </w:rPr>
        <w:t>报告，判断</w:t>
      </w:r>
      <w:r>
        <w:rPr>
          <w:rFonts w:hint="eastAsia" w:ascii="仿宋" w:hAnsi="仿宋" w:eastAsia="仿宋" w:cs="仿宋"/>
          <w:sz w:val="24"/>
          <w:szCs w:val="24"/>
        </w:rPr>
        <w:t>双狮（张家港）精细化工有限公司</w:t>
      </w:r>
      <w:r>
        <w:rPr>
          <w:rFonts w:ascii="Times New Roman" w:hAnsi="Times New Roman" w:eastAsia="仿宋"/>
          <w:sz w:val="24"/>
          <w:szCs w:val="24"/>
        </w:rPr>
        <w:t>厂区地块</w:t>
      </w:r>
      <w:r>
        <w:rPr>
          <w:rFonts w:hint="eastAsia" w:ascii="Times New Roman" w:hAnsi="Times New Roman" w:eastAsia="仿宋"/>
          <w:sz w:val="24"/>
          <w:szCs w:val="24"/>
        </w:rPr>
        <w:t>2020年度</w:t>
      </w:r>
      <w:r>
        <w:rPr>
          <w:rFonts w:ascii="Times New Roman" w:hAnsi="Times New Roman" w:eastAsia="仿宋"/>
          <w:sz w:val="24"/>
          <w:szCs w:val="24"/>
        </w:rPr>
        <w:t>土壤及地下水环境质量，并根据调查结果提出后续土壤污染防治工作的相关建议。</w:t>
      </w:r>
      <w:bookmarkStart w:id="55" w:name="_Toc498199423"/>
      <w:bookmarkStart w:id="56" w:name="_Toc15671"/>
      <w:bookmarkStart w:id="57" w:name="_Toc512351172"/>
      <w:bookmarkStart w:id="58" w:name="_Toc9575"/>
      <w:bookmarkStart w:id="59" w:name="_Toc1656"/>
      <w:bookmarkStart w:id="60" w:name="_Toc30440"/>
      <w:bookmarkStart w:id="61" w:name="_Toc434353288"/>
      <w:bookmarkStart w:id="62" w:name="_Toc31187"/>
    </w:p>
    <w:p>
      <w:pPr>
        <w:keepNext/>
        <w:keepLines/>
        <w:spacing w:before="120" w:after="120" w:line="360" w:lineRule="auto"/>
        <w:outlineLvl w:val="1"/>
        <w:rPr>
          <w:rFonts w:ascii="Times New Roman" w:hAnsi="Times New Roman" w:eastAsia="仿宋"/>
          <w:b/>
          <w:bCs/>
          <w:sz w:val="30"/>
          <w:szCs w:val="30"/>
        </w:rPr>
      </w:pPr>
      <w:bookmarkStart w:id="63" w:name="_Toc19377"/>
      <w:r>
        <w:rPr>
          <w:rFonts w:ascii="Times New Roman" w:hAnsi="Times New Roman" w:eastAsia="仿宋"/>
          <w:b/>
          <w:bCs/>
          <w:sz w:val="30"/>
          <w:szCs w:val="30"/>
        </w:rPr>
        <w:t>1.6</w:t>
      </w:r>
      <w:r>
        <w:rPr>
          <w:rFonts w:hint="eastAsia" w:ascii="Times New Roman" w:hAnsi="Times New Roman" w:eastAsia="仿宋"/>
          <w:b/>
          <w:bCs/>
          <w:sz w:val="30"/>
          <w:szCs w:val="30"/>
        </w:rPr>
        <w:t xml:space="preserve"> </w:t>
      </w:r>
      <w:r>
        <w:rPr>
          <w:rFonts w:ascii="Times New Roman" w:hAnsi="Times New Roman" w:eastAsia="仿宋"/>
          <w:b/>
          <w:bCs/>
          <w:sz w:val="30"/>
          <w:szCs w:val="30"/>
        </w:rPr>
        <w:t>技术路线</w:t>
      </w:r>
      <w:bookmarkEnd w:id="55"/>
      <w:bookmarkEnd w:id="56"/>
      <w:bookmarkEnd w:id="57"/>
      <w:bookmarkEnd w:id="58"/>
      <w:bookmarkEnd w:id="59"/>
      <w:bookmarkEnd w:id="60"/>
      <w:bookmarkEnd w:id="61"/>
      <w:bookmarkEnd w:id="62"/>
      <w:bookmarkEnd w:id="63"/>
    </w:p>
    <w:p>
      <w:pPr>
        <w:widowControl/>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依据《建设用地土壤污染状况调查技术导则》（HJ25.1-2019）、《建设用地土壤污染风险管控和修复 监测技术导则》（HJ25.2-2019）、《土壤环境监测技术规范》（HJ/T 166-2004）、</w:t>
      </w:r>
      <w:r>
        <w:rPr>
          <w:rFonts w:ascii="Times New Roman" w:hAnsi="Times New Roman" w:eastAsia="仿宋"/>
          <w:sz w:val="24"/>
          <w:szCs w:val="24"/>
        </w:rPr>
        <w:t>《在产企业土壤和地下水自行监测技术指南（报批稿）》</w:t>
      </w:r>
      <w:r>
        <w:rPr>
          <w:rFonts w:hint="eastAsia" w:ascii="Times New Roman" w:hAnsi="Times New Roman" w:eastAsia="仿宋"/>
          <w:sz w:val="24"/>
          <w:szCs w:val="24"/>
        </w:rPr>
        <w:t>等文件相关内容，结合</w:t>
      </w:r>
      <w:r>
        <w:rPr>
          <w:rFonts w:hint="eastAsia" w:ascii="仿宋" w:hAnsi="仿宋" w:eastAsia="仿宋" w:cs="仿宋"/>
          <w:sz w:val="24"/>
          <w:szCs w:val="24"/>
        </w:rPr>
        <w:t>双狮（张家港）精细化工有限公司</w:t>
      </w:r>
      <w:r>
        <w:rPr>
          <w:rFonts w:hint="eastAsia" w:ascii="Times New Roman" w:hAnsi="Times New Roman" w:eastAsia="仿宋"/>
          <w:sz w:val="24"/>
          <w:szCs w:val="24"/>
        </w:rPr>
        <w:t>2019年度厂区内土壤及地下水环境自查情况、现状、规划用途等信息，本次场地调查工作分两个阶段完成。</w:t>
      </w:r>
    </w:p>
    <w:p>
      <w:pPr>
        <w:widowControl/>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rPr>
        <w:t>1.第一阶段，收集</w:t>
      </w:r>
      <w:r>
        <w:rPr>
          <w:rFonts w:hint="eastAsia" w:ascii="Times New Roman" w:hAnsi="Times New Roman" w:eastAsia="仿宋"/>
          <w:sz w:val="24"/>
          <w:szCs w:val="24"/>
          <w:lang w:val="en-US" w:eastAsia="zh-CN"/>
        </w:rPr>
        <w:t>双狮化工</w:t>
      </w:r>
      <w:r>
        <w:rPr>
          <w:rFonts w:hint="eastAsia" w:ascii="Times New Roman" w:hAnsi="Times New Roman" w:eastAsia="仿宋"/>
          <w:sz w:val="24"/>
          <w:szCs w:val="24"/>
        </w:rPr>
        <w:t>在产厂区的历史使用资料及当前使用情况，准确掌握其生产工艺、原辅材料、主要产品等信息；踏勘现场，对场地基本构筑物、暗管、地下管线、周边敏感目标及自行监测布点位置等进行踏勘核实；访谈相关人员，了解地块实际使用情况，对前期通过资料收集所获得的失准信息进行核实更正，更准确的掌握场地相关信息。</w:t>
      </w:r>
    </w:p>
    <w:p>
      <w:pPr>
        <w:widowControl/>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2.第二阶段，根据信息收集、现场踏勘、人员访谈等前期工作所掌握的场地实际情况，对潜在污染风险性较高的区域开展现场样品采集与实验室检测分析，汇总检测数据，编制自行监测报告。</w:t>
      </w:r>
      <w:r>
        <w:rPr>
          <w:rFonts w:ascii="Times New Roman" w:hAnsi="Times New Roman" w:eastAsia="仿宋"/>
          <w:sz w:val="24"/>
          <w:szCs w:val="24"/>
        </w:rPr>
        <w:br w:type="page"/>
      </w:r>
    </w:p>
    <w:p>
      <w:pPr>
        <w:pStyle w:val="2"/>
        <w:jc w:val="center"/>
        <w:rPr>
          <w:rFonts w:eastAsia="仿宋"/>
          <w:sz w:val="32"/>
          <w:szCs w:val="28"/>
        </w:rPr>
      </w:pPr>
      <w:bookmarkStart w:id="64" w:name="_Toc5236"/>
      <w:bookmarkStart w:id="65" w:name="_Toc434353292"/>
      <w:bookmarkStart w:id="66" w:name="_Toc512351173"/>
      <w:bookmarkStart w:id="67" w:name="_Toc19321"/>
      <w:bookmarkStart w:id="68" w:name="_Toc5484"/>
      <w:bookmarkStart w:id="69" w:name="_Toc19071"/>
      <w:bookmarkStart w:id="70" w:name="_Toc7589"/>
      <w:bookmarkStart w:id="71" w:name="_Toc28815"/>
      <w:bookmarkStart w:id="72" w:name="_Toc498199424"/>
      <w:r>
        <w:rPr>
          <w:rFonts w:eastAsia="仿宋"/>
          <w:sz w:val="32"/>
          <w:szCs w:val="28"/>
        </w:rPr>
        <w:t>第二章 场地概况</w:t>
      </w:r>
      <w:bookmarkEnd w:id="64"/>
      <w:bookmarkEnd w:id="65"/>
      <w:bookmarkEnd w:id="66"/>
      <w:bookmarkEnd w:id="67"/>
      <w:bookmarkEnd w:id="68"/>
      <w:bookmarkEnd w:id="69"/>
      <w:bookmarkEnd w:id="70"/>
      <w:bookmarkEnd w:id="71"/>
      <w:bookmarkEnd w:id="72"/>
    </w:p>
    <w:p>
      <w:pPr>
        <w:pStyle w:val="3"/>
        <w:spacing w:before="120" w:after="120" w:line="360" w:lineRule="auto"/>
        <w:rPr>
          <w:rFonts w:ascii="Times New Roman" w:hAnsi="Times New Roman" w:eastAsia="仿宋"/>
          <w:sz w:val="28"/>
          <w:szCs w:val="28"/>
        </w:rPr>
      </w:pPr>
      <w:bookmarkStart w:id="73" w:name="_Toc30311"/>
      <w:bookmarkStart w:id="74" w:name="_Toc434353293"/>
      <w:bookmarkStart w:id="75" w:name="_Toc21532"/>
      <w:bookmarkStart w:id="76" w:name="_Toc9176"/>
      <w:bookmarkStart w:id="77" w:name="_Toc498199425"/>
      <w:bookmarkStart w:id="78" w:name="_Toc512351174"/>
      <w:bookmarkStart w:id="79" w:name="_Toc8790"/>
      <w:bookmarkStart w:id="80" w:name="_Toc1636"/>
      <w:bookmarkStart w:id="81" w:name="_Toc12307"/>
      <w:r>
        <w:rPr>
          <w:rFonts w:ascii="Times New Roman" w:hAnsi="Times New Roman" w:eastAsia="仿宋"/>
          <w:sz w:val="28"/>
          <w:szCs w:val="28"/>
        </w:rPr>
        <w:t>2.1</w:t>
      </w:r>
      <w:bookmarkEnd w:id="73"/>
      <w:bookmarkEnd w:id="74"/>
      <w:r>
        <w:rPr>
          <w:rFonts w:hint="eastAsia" w:ascii="Times New Roman" w:hAnsi="Times New Roman" w:eastAsia="仿宋"/>
          <w:sz w:val="28"/>
          <w:szCs w:val="28"/>
        </w:rPr>
        <w:t xml:space="preserve"> </w:t>
      </w:r>
      <w:r>
        <w:rPr>
          <w:rFonts w:ascii="Times New Roman" w:hAnsi="Times New Roman" w:eastAsia="仿宋"/>
          <w:sz w:val="28"/>
          <w:szCs w:val="28"/>
        </w:rPr>
        <w:t>场地环境概况</w:t>
      </w:r>
      <w:bookmarkEnd w:id="75"/>
      <w:bookmarkEnd w:id="76"/>
      <w:bookmarkEnd w:id="77"/>
      <w:bookmarkEnd w:id="78"/>
      <w:bookmarkEnd w:id="79"/>
      <w:bookmarkEnd w:id="80"/>
      <w:bookmarkEnd w:id="81"/>
    </w:p>
    <w:p>
      <w:pPr>
        <w:pStyle w:val="4"/>
        <w:spacing w:before="65" w:beforeLines="20" w:after="65" w:afterLines="20" w:line="360" w:lineRule="auto"/>
        <w:jc w:val="left"/>
        <w:rPr>
          <w:rFonts w:hint="eastAsia" w:ascii="仿宋" w:hAnsi="仿宋" w:eastAsia="仿宋" w:cs="仿宋"/>
          <w:sz w:val="24"/>
          <w:szCs w:val="24"/>
        </w:rPr>
      </w:pPr>
      <w:bookmarkStart w:id="82" w:name="_Toc26267513"/>
      <w:bookmarkStart w:id="83" w:name="_Toc24201"/>
      <w:bookmarkStart w:id="84" w:name="_Toc31742"/>
      <w:bookmarkStart w:id="85" w:name="_Toc12048"/>
      <w:bookmarkStart w:id="86" w:name="_Toc498199429"/>
      <w:bookmarkStart w:id="87" w:name="_Toc16041"/>
      <w:bookmarkStart w:id="88" w:name="_Toc5835"/>
      <w:bookmarkStart w:id="89" w:name="_Toc512351178"/>
      <w:r>
        <w:rPr>
          <w:rFonts w:hint="eastAsia" w:ascii="仿宋" w:hAnsi="仿宋" w:eastAsia="仿宋" w:cs="仿宋"/>
          <w:sz w:val="24"/>
          <w:szCs w:val="24"/>
        </w:rPr>
        <w:t>2.1.1 地理位置</w:t>
      </w:r>
      <w:bookmarkEnd w:id="82"/>
      <w:bookmarkEnd w:id="83"/>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张家港市位于中国“黄金水道”——长江下游南岸江，属于江苏省境内，处于中国沿江及沿海两大经济带的交汇处，上海、南京、苏州、无锡等大中城市环列四周，距上海120 km（沿江高速公路通车后，距上海98 km）、苏州80 km（一级公路通车后，距苏州58 km）、无锡40 km、常州70 km、南通30 km、南京200 km，距虹桥机场120 km（沿江高速公路通车后，为98 km），浦东机场150 km，南京禄口机场200 km，是沿海和长江两大经济开发带交汇处的新型港口城市。全市总面积998.48平方公里，其中陆地785.31平方公里，占78.65%；长江水域213.17平方公里，占21.35%。陆地东西最大直线距离44.58公里，南北最大直线距离33.71公里，周长183.5公里，北宽南窄，呈三角形。</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张家港保税区（金港镇）于1992年10月16日经国务院批准设立，是我国唯一的内河港型保税区和唯一的位于县级口岸的保税区，主要功能为出口加工、报税仓储、国际贸易和商品展示。纺织业是保税区四大特色优势产业之一。</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项目位于张家港保税区扬子江国际化学工业园长江北路，北侧邻东华能源（张家港）新材料有限公司，西侧临东华能源股份有限公司，东侧为长江北路，南侧为张家港保税物流园区（东区），占地面积925多亩，具体地理位置见图1.1。</w:t>
      </w:r>
    </w:p>
    <w:p>
      <w:pPr>
        <w:pStyle w:val="4"/>
        <w:spacing w:before="65" w:beforeLines="20" w:after="65" w:afterLines="20" w:line="360" w:lineRule="auto"/>
        <w:rPr>
          <w:rFonts w:hint="eastAsia" w:ascii="仿宋" w:hAnsi="仿宋" w:eastAsia="仿宋" w:cs="仿宋"/>
          <w:sz w:val="24"/>
          <w:szCs w:val="24"/>
        </w:rPr>
      </w:pPr>
      <w:bookmarkStart w:id="90" w:name="_Toc26267514"/>
      <w:bookmarkStart w:id="91" w:name="_Toc26117"/>
      <w:r>
        <w:rPr>
          <w:rFonts w:hint="eastAsia" w:ascii="仿宋" w:hAnsi="仿宋" w:eastAsia="仿宋" w:cs="仿宋"/>
          <w:sz w:val="24"/>
          <w:szCs w:val="24"/>
        </w:rPr>
        <w:t>2.1.2 气候气象</w:t>
      </w:r>
      <w:bookmarkEnd w:id="90"/>
      <w:bookmarkEnd w:id="91"/>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项目位于北亚热带北端，四季分明。冬季受大陆冷空气影响，气候干燥寒冷，风向以偏北风为主；夏季则受海洋气团影响，气候酷热多雨，风向以偏南风为主。历年统计资料表明：境内年平均气温为15.1℃；极端最高气温38.1℃，极端最低气温-11.3℃；平均年降水量为1035.9 mm，最大降水量可达1748.0 mm，最小为640 mm；平均年日照时数为2088小时；常年主导风向为SSE，频率为11%，最小频度风向为SW风，频率为2.0%，静风频率为5%；年平均风速为3.5 m/s。</w:t>
      </w:r>
    </w:p>
    <w:p>
      <w:pPr>
        <w:pStyle w:val="4"/>
        <w:spacing w:before="65" w:beforeLines="20" w:after="65" w:afterLines="20" w:line="360" w:lineRule="auto"/>
        <w:jc w:val="left"/>
        <w:rPr>
          <w:rFonts w:hint="eastAsia" w:ascii="仿宋" w:hAnsi="仿宋" w:eastAsia="仿宋" w:cs="仿宋"/>
          <w:sz w:val="24"/>
          <w:szCs w:val="24"/>
        </w:rPr>
      </w:pPr>
      <w:bookmarkStart w:id="92" w:name="_Toc26267515"/>
      <w:bookmarkStart w:id="93" w:name="_Toc17837"/>
      <w:r>
        <w:rPr>
          <w:rFonts w:hint="eastAsia" w:ascii="仿宋" w:hAnsi="仿宋" w:eastAsia="仿宋" w:cs="仿宋"/>
          <w:sz w:val="24"/>
          <w:szCs w:val="24"/>
        </w:rPr>
        <w:t>2.1.3 地形地貌及地质</w:t>
      </w:r>
      <w:bookmarkEnd w:id="92"/>
      <w:bookmarkEnd w:id="93"/>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张家港市北宽南窄，呈三角形。古长江岸线把境内陆地分为南北两个部分，南部属老长江三角洲的古代沙嘴区，成陆8000年以上，地势高亢，高程（吴淞零点，下同）为5～8 m，散落着大小14座山丘；北部属新长江三角洲，由数十个沙洲积涨而成，成陆最早的距今约800年，地势低平，高程为3～5 m。</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张家港城北至东西走向的盐铁塘、东横河是天然的南北土质分界线，地质成因有所不同。北部由于河流搬运的大量细小碎屑入江附近冲击而成，浅海相新冲击层，土层颜色呈土黄，由褐灰色地亚粘土、轻亚粘土及褐灰色粘层组成现今的软弱地带。南部属平原河谷冲击物类型，即由洪积区及阶地冲积地亚粘土、黏土为主的覆盖地，覆盖于原来形成的软弱土层之上。按“中国地震裂度区划图（1990）”及国家地震局、建设部地震办（1992）160号文，按Ⅵ度设防。</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张家港保税区扬子江国际化学工业园区所在地地势平坦，地面标高在+2.5米左右，长江堤岸标高+7.5米（黄海高程）左右。该地区在地质上属新华夏系第二巨形隆起带与秦岭东西向复杂构造带东延的复合部位，地表为新生代第四纪的松散沉积层，地表层以下为亚粘土和粉砂土。地貌单元属长江三角洲相。区内土壤大部分是人类长期耕作熟化所形成的农田土壤， 沿江芦苇野草丛生的滩地属草甸地，形成年代只有二、三十年或更短。</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根据江苏省水文地质工程地质勘察院于1993年在工程区域进行过勘探，地质概况如下：</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表层有1～3m护坡抛石层，Ⅱ1层中局部夹有抛石层；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第一层：Ⅱ1层 淤泥质亚粘土，厚度8～13m，流塑状，局部软塑状， 属中等偏高压缩性土层，标贯击数 4～5 击；</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第二层：Ⅱ2层 粉细砂夹淤泥质亚粘土，厚度3～14m 松散～稍密， 中等偏底压缩性，标贯击数 10～14击；</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第三层：Ⅲ1层 粉细砂，局部夹亚粘土，未钻透，中密状，偏低压缩 性土，标贯击数20～30击，有些钻孔标贯击数达50击左右。</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本区域地震频度低，强度弱，为较稳定的弱震区。</w:t>
      </w:r>
    </w:p>
    <w:p>
      <w:pPr>
        <w:pStyle w:val="4"/>
        <w:spacing w:before="65" w:beforeLines="20" w:after="65" w:afterLines="20" w:line="360" w:lineRule="auto"/>
        <w:jc w:val="left"/>
        <w:rPr>
          <w:rFonts w:hint="eastAsia" w:ascii="仿宋" w:hAnsi="仿宋" w:eastAsia="仿宋" w:cs="仿宋"/>
          <w:sz w:val="24"/>
          <w:szCs w:val="24"/>
        </w:rPr>
      </w:pPr>
      <w:bookmarkStart w:id="94" w:name="_Toc30800"/>
      <w:bookmarkStart w:id="95" w:name="_Toc26267516"/>
      <w:r>
        <w:rPr>
          <w:rFonts w:hint="eastAsia" w:ascii="仿宋" w:hAnsi="仿宋" w:eastAsia="仿宋" w:cs="仿宋"/>
          <w:sz w:val="24"/>
          <w:szCs w:val="24"/>
        </w:rPr>
        <w:t>2.1.4 水系及水文特征</w:t>
      </w:r>
      <w:bookmarkEnd w:id="94"/>
      <w:bookmarkEnd w:id="95"/>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本地区水系属长江水系。沿江有多条内河和长江相通，项目附近主要水体为长江和十字港河。</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十字港为排灌河流，由于受人工闸控制，流速较小，且流向不定。当从长江引水时，水流自西北(北)向东南(南)；当开闸放水时，水流则相反。 河闸内河底宽18米，闸外河底宽40米，河底标高-1.41米，河面宽约60米，设计流量30 m</w:t>
      </w:r>
      <w:r>
        <w:rPr>
          <w:rFonts w:hint="eastAsia" w:ascii="仿宋" w:hAnsi="仿宋" w:eastAsia="仿宋" w:cs="仿宋"/>
          <w:sz w:val="24"/>
          <w:szCs w:val="24"/>
          <w:vertAlign w:val="superscript"/>
        </w:rPr>
        <w:t>3</w:t>
      </w:r>
      <w:r>
        <w:rPr>
          <w:rFonts w:hint="eastAsia" w:ascii="仿宋" w:hAnsi="仿宋" w:eastAsia="仿宋" w:cs="仿宋"/>
          <w:sz w:val="24"/>
          <w:szCs w:val="24"/>
        </w:rPr>
        <w:t xml:space="preserve"> /秒，规划拓宽疏浚到四六级航道（长江—疏港路段已按四级拓宽），向南开挖连通南套河、东横河。</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项目所在地长江福姜沙河段位于长江河口感潮河段，长江水流大部分为双向流，只有在径流量很大，天文潮很小情况下为单向流(落潮流)。河段潮汐特点为非正规半日浅海潮型，潮位每日两涨两落，涨潮流平均历时4小时，落潮流平均历时8个多小时，平均潮流期为12小时50分钟。最高潮水位为6.38米，最低潮水位为0.42米。据大通水文站历年观测资料，年平均流量为2.93万m</w:t>
      </w:r>
      <w:r>
        <w:rPr>
          <w:rFonts w:hint="eastAsia" w:ascii="仿宋" w:hAnsi="仿宋" w:eastAsia="仿宋" w:cs="仿宋"/>
          <w:sz w:val="24"/>
          <w:szCs w:val="24"/>
          <w:vertAlign w:val="superscript"/>
        </w:rPr>
        <w:t>3</w:t>
      </w:r>
      <w:r>
        <w:rPr>
          <w:rFonts w:hint="eastAsia" w:ascii="仿宋" w:hAnsi="仿宋" w:eastAsia="仿宋" w:cs="仿宋"/>
          <w:sz w:val="24"/>
          <w:szCs w:val="24"/>
        </w:rPr>
        <w:t>/秒最大流量为9.23万m</w:t>
      </w:r>
      <w:r>
        <w:rPr>
          <w:rFonts w:hint="eastAsia" w:ascii="仿宋" w:hAnsi="仿宋" w:eastAsia="仿宋" w:cs="仿宋"/>
          <w:sz w:val="24"/>
          <w:szCs w:val="24"/>
          <w:vertAlign w:val="superscript"/>
        </w:rPr>
        <w:t>3</w:t>
      </w:r>
      <w:r>
        <w:rPr>
          <w:rFonts w:hint="eastAsia" w:ascii="仿宋" w:hAnsi="仿宋" w:eastAsia="仿宋" w:cs="仿宋"/>
          <w:sz w:val="24"/>
          <w:szCs w:val="24"/>
        </w:rPr>
        <w:t>/秒，最小流量为4626 m</w:t>
      </w:r>
      <w:r>
        <w:rPr>
          <w:rFonts w:hint="eastAsia" w:ascii="仿宋" w:hAnsi="仿宋" w:eastAsia="仿宋" w:cs="仿宋"/>
          <w:sz w:val="24"/>
          <w:szCs w:val="24"/>
          <w:vertAlign w:val="superscript"/>
        </w:rPr>
        <w:t>3</w:t>
      </w:r>
      <w:r>
        <w:rPr>
          <w:rFonts w:hint="eastAsia" w:ascii="仿宋" w:hAnsi="仿宋" w:eastAsia="仿宋" w:cs="仿宋"/>
          <w:sz w:val="24"/>
          <w:szCs w:val="24"/>
        </w:rPr>
        <w:t>/秒。在汛期，平均落潮量为24.5亿m</w:t>
      </w:r>
      <w:r>
        <w:rPr>
          <w:rFonts w:hint="eastAsia" w:ascii="仿宋" w:hAnsi="仿宋" w:eastAsia="仿宋" w:cs="仿宋"/>
          <w:sz w:val="24"/>
          <w:szCs w:val="24"/>
          <w:vertAlign w:val="superscript"/>
        </w:rPr>
        <w:t>3</w:t>
      </w:r>
      <w:r>
        <w:rPr>
          <w:rFonts w:hint="eastAsia" w:ascii="仿宋" w:hAnsi="仿宋" w:eastAsia="仿宋" w:cs="仿宋"/>
          <w:sz w:val="24"/>
          <w:szCs w:val="24"/>
        </w:rPr>
        <w:t>，涨潮量为1.5亿m</w:t>
      </w:r>
      <w:r>
        <w:rPr>
          <w:rFonts w:hint="eastAsia" w:ascii="仿宋" w:hAnsi="仿宋" w:eastAsia="仿宋" w:cs="仿宋"/>
          <w:sz w:val="24"/>
          <w:szCs w:val="24"/>
          <w:vertAlign w:val="superscript"/>
        </w:rPr>
        <w:t>3</w:t>
      </w:r>
      <w:r>
        <w:rPr>
          <w:rFonts w:hint="eastAsia" w:ascii="仿宋" w:hAnsi="仿宋" w:eastAsia="仿宋" w:cs="仿宋"/>
          <w:sz w:val="24"/>
          <w:szCs w:val="24"/>
        </w:rPr>
        <w:t>。在枯水期，平 均落潮潮量为9.45亿m</w:t>
      </w:r>
      <w:r>
        <w:rPr>
          <w:rFonts w:hint="eastAsia" w:ascii="仿宋" w:hAnsi="仿宋" w:eastAsia="仿宋" w:cs="仿宋"/>
          <w:sz w:val="24"/>
          <w:szCs w:val="24"/>
          <w:vertAlign w:val="superscript"/>
        </w:rPr>
        <w:t>3</w:t>
      </w:r>
      <w:r>
        <w:rPr>
          <w:rFonts w:hint="eastAsia" w:ascii="仿宋" w:hAnsi="仿宋" w:eastAsia="仿宋" w:cs="仿宋"/>
          <w:sz w:val="24"/>
          <w:szCs w:val="24"/>
        </w:rPr>
        <w:t>，涨潮潮量为5.12亿m</w:t>
      </w:r>
      <w:r>
        <w:rPr>
          <w:rFonts w:hint="eastAsia" w:ascii="仿宋" w:hAnsi="仿宋" w:eastAsia="仿宋" w:cs="仿宋"/>
          <w:sz w:val="24"/>
          <w:szCs w:val="24"/>
          <w:vertAlign w:val="superscript"/>
        </w:rPr>
        <w:t>3</w:t>
      </w:r>
      <w:r>
        <w:rPr>
          <w:rFonts w:hint="eastAsia" w:ascii="仿宋" w:hAnsi="仿宋" w:eastAsia="仿宋" w:cs="仿宋"/>
          <w:sz w:val="24"/>
          <w:szCs w:val="24"/>
        </w:rPr>
        <w:t>。本长江段床沙组成大部分为细沙，平均粒径为0.12-0.16厘米。含沙量一般汛期大，枯水期小，落潮含沙量大于涨潮。</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污水接管排放口各一个，雨水、污水分别根据各自的pH在线检测联锁装置自动切换排放去向。</w:t>
      </w:r>
    </w:p>
    <w:p>
      <w:pPr>
        <w:pStyle w:val="4"/>
        <w:spacing w:before="65" w:beforeLines="20" w:after="65" w:afterLines="20" w:line="360" w:lineRule="auto"/>
        <w:jc w:val="left"/>
        <w:rPr>
          <w:rFonts w:hint="eastAsia" w:ascii="仿宋" w:hAnsi="仿宋" w:eastAsia="仿宋" w:cs="仿宋"/>
          <w:sz w:val="24"/>
          <w:szCs w:val="24"/>
        </w:rPr>
      </w:pPr>
      <w:bookmarkStart w:id="96" w:name="_Toc26267517"/>
      <w:bookmarkStart w:id="97" w:name="_Toc4038"/>
      <w:r>
        <w:rPr>
          <w:rFonts w:hint="eastAsia" w:ascii="仿宋" w:hAnsi="仿宋" w:eastAsia="仿宋" w:cs="仿宋"/>
          <w:sz w:val="24"/>
          <w:szCs w:val="24"/>
        </w:rPr>
        <w:t>2.1.5 生态和自然资源</w:t>
      </w:r>
      <w:bookmarkEnd w:id="96"/>
      <w:bookmarkEnd w:id="97"/>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（1）土壤：属淤土类灰淤土亚类。土属，沿江岸为砂土，其余为夹砂土。由冲击母质发育而成，有石灰性反映，有机质矿化率高，耕性适宜耐旱作物。</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植被：以人工栽培为主，没有连片湿地。江滩丛生芦苇、芦竹；河塘洼地种蒲草、茭白、慈菇、藕、水草、荸荠、水花生、浮萍等；路、堤两旁、家前屋后种有水杉、刺槐、楝、杞柳等乔灌木及小片竹、果、菜园；农田植被为稻、棉、麦轮作或纯棉，少量绿化及其它经济作物。</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（3）动物：以常见的家禽、鸟雀（含水禽）、鼠、蛙、蛇、龟、兔等为主，塘洼养殖水产。长江是江海洄游鱼通道，中华鲟、白鳍豚、江豚是国家保护的珍稀动物。</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（4）自然资源：主要为土地资源（含岸线、滩涂）资源、水资源和渔业资源，是著名的“长江三鲜”—鲥、刀鲚、河豚鱼的主要产地，鱼纲有30 余种。目前鲥鱼已绝迹。</w:t>
      </w:r>
    </w:p>
    <w:p>
      <w:pPr>
        <w:pStyle w:val="3"/>
        <w:spacing w:before="120" w:after="120" w:line="360" w:lineRule="auto"/>
        <w:rPr>
          <w:rFonts w:ascii="Times New Roman" w:hAnsi="Times New Roman" w:eastAsia="仿宋"/>
          <w:sz w:val="28"/>
          <w:szCs w:val="28"/>
        </w:rPr>
      </w:pPr>
      <w:bookmarkStart w:id="98" w:name="_Toc3769"/>
      <w:r>
        <w:rPr>
          <w:rFonts w:ascii="Times New Roman" w:hAnsi="Times New Roman" w:eastAsia="仿宋"/>
          <w:sz w:val="28"/>
          <w:szCs w:val="28"/>
        </w:rPr>
        <w:t>2.2</w:t>
      </w:r>
      <w:r>
        <w:rPr>
          <w:rFonts w:hint="eastAsia" w:ascii="Times New Roman" w:hAnsi="Times New Roman" w:eastAsia="仿宋"/>
          <w:sz w:val="28"/>
          <w:szCs w:val="28"/>
        </w:rPr>
        <w:t xml:space="preserve"> </w:t>
      </w:r>
      <w:r>
        <w:rPr>
          <w:rFonts w:ascii="Times New Roman" w:hAnsi="Times New Roman" w:eastAsia="仿宋"/>
          <w:sz w:val="28"/>
          <w:szCs w:val="28"/>
        </w:rPr>
        <w:t>地理位置及周边敏感目标</w:t>
      </w:r>
      <w:bookmarkEnd w:id="84"/>
      <w:bookmarkEnd w:id="85"/>
      <w:bookmarkEnd w:id="86"/>
      <w:bookmarkEnd w:id="87"/>
      <w:bookmarkEnd w:id="88"/>
      <w:bookmarkEnd w:id="89"/>
      <w:bookmarkEnd w:id="98"/>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双狮（张家港）精细化工有限公司场地位于张家港保税区扬子江国际化学工业园长江北路（北纬31.998778°，东经120.470721°），西侧紧邻长江，北面为东华能源（张家港）新材料有限公司；东面江苏康宁化学有限公司，南侧隔东华路为孚宝物流用地和张家港保税物流园区（东区），所处园内设有完善的基础设施。</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根据《工业企业卫生防护距离标准》中的硫酸厂卫生防护距离标准，双狮（张家港）精细化工有限公司硫酸生产区设置 600 m卫生防护距离、氯碱装置区设置800 m卫生防护距离，在企业卫生防护距离范围内没有住宅、学校、医院、基本农田保护区、耕地等敏感保护目标。5000 m主要为北荫村、双丰村、永兴村、德丰社区、元丰社区、德积中心小学、护漕港中学、福民社区、金港镇、沙洲医院、长江张家港段等。地理位置详见图1.1，周边环境现状及环境敏感区详见图2.</w:t>
      </w:r>
      <w:r>
        <w:rPr>
          <w:rFonts w:hint="eastAsia" w:ascii="仿宋" w:hAnsi="仿宋" w:eastAsia="仿宋" w:cs="仿宋"/>
          <w:sz w:val="24"/>
          <w:szCs w:val="24"/>
          <w:lang w:val="en-US" w:eastAsia="zh-CN"/>
        </w:rPr>
        <w:t>1</w:t>
      </w:r>
      <w:r>
        <w:rPr>
          <w:rFonts w:hint="eastAsia" w:ascii="仿宋" w:hAnsi="仿宋" w:eastAsia="仿宋" w:cs="仿宋"/>
          <w:sz w:val="24"/>
          <w:szCs w:val="24"/>
        </w:rPr>
        <w:t>、图2.</w:t>
      </w:r>
      <w:r>
        <w:rPr>
          <w:rFonts w:hint="eastAsia" w:ascii="仿宋" w:hAnsi="仿宋" w:eastAsia="仿宋" w:cs="仿宋"/>
          <w:sz w:val="24"/>
          <w:szCs w:val="24"/>
          <w:lang w:val="en-US" w:eastAsia="zh-CN"/>
        </w:rPr>
        <w:t>2</w:t>
      </w:r>
      <w:r>
        <w:rPr>
          <w:rFonts w:hint="eastAsia" w:ascii="仿宋" w:hAnsi="仿宋" w:eastAsia="仿宋" w:cs="仿宋"/>
          <w:sz w:val="24"/>
          <w:szCs w:val="24"/>
        </w:rPr>
        <w:t>和表2-</w:t>
      </w:r>
      <w:r>
        <w:rPr>
          <w:rFonts w:hint="eastAsia" w:ascii="仿宋" w:hAnsi="仿宋" w:eastAsia="仿宋" w:cs="仿宋"/>
          <w:sz w:val="24"/>
          <w:szCs w:val="24"/>
          <w:lang w:val="en-US" w:eastAsia="zh-CN"/>
        </w:rPr>
        <w:t>1</w:t>
      </w:r>
      <w:r>
        <w:rPr>
          <w:rFonts w:hint="eastAsia" w:ascii="仿宋" w:hAnsi="仿宋" w:eastAsia="仿宋" w:cs="仿宋"/>
          <w:sz w:val="24"/>
          <w:szCs w:val="24"/>
        </w:rPr>
        <w:t>、表2-</w:t>
      </w:r>
      <w:r>
        <w:rPr>
          <w:rFonts w:hint="eastAsia" w:ascii="仿宋" w:hAnsi="仿宋" w:eastAsia="仿宋" w:cs="仿宋"/>
          <w:sz w:val="24"/>
          <w:szCs w:val="24"/>
          <w:lang w:val="en-US" w:eastAsia="zh-CN"/>
        </w:rPr>
        <w:t>2</w:t>
      </w:r>
      <w:r>
        <w:rPr>
          <w:rFonts w:hint="eastAsia" w:ascii="仿宋" w:hAnsi="仿宋" w:eastAsia="仿宋" w:cs="仿宋"/>
          <w:sz w:val="24"/>
          <w:szCs w:val="24"/>
        </w:rPr>
        <w:t>及表2-</w:t>
      </w:r>
      <w:r>
        <w:rPr>
          <w:rFonts w:hint="eastAsia" w:ascii="仿宋" w:hAnsi="仿宋" w:eastAsia="仿宋" w:cs="仿宋"/>
          <w:sz w:val="24"/>
          <w:szCs w:val="24"/>
          <w:lang w:val="en-US" w:eastAsia="zh-CN"/>
        </w:rPr>
        <w:t>3</w:t>
      </w:r>
      <w:r>
        <w:rPr>
          <w:rFonts w:hint="eastAsia" w:ascii="仿宋" w:hAnsi="仿宋" w:eastAsia="仿宋" w:cs="仿宋"/>
          <w:sz w:val="24"/>
          <w:szCs w:val="24"/>
        </w:rPr>
        <w:t>。</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687695" cy="4472940"/>
            <wp:effectExtent l="0" t="0" r="8255" b="381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0"/>
                    <a:stretch>
                      <a:fillRect/>
                    </a:stretch>
                  </pic:blipFill>
                  <pic:spPr>
                    <a:xfrm>
                      <a:off x="0" y="0"/>
                      <a:ext cx="5688000" cy="4473375"/>
                    </a:xfrm>
                    <a:prstGeom prst="rect">
                      <a:avLst/>
                    </a:prstGeom>
                  </pic:spPr>
                </pic:pic>
              </a:graphicData>
            </a:graphic>
          </wp:inline>
        </w:drawing>
      </w:r>
    </w:p>
    <w:p>
      <w:pPr>
        <w:jc w:val="center"/>
        <w:rPr>
          <w:rFonts w:hint="eastAsia" w:ascii="仿宋" w:hAnsi="仿宋" w:eastAsia="仿宋" w:cs="仿宋"/>
          <w:b/>
          <w:bCs/>
          <w:sz w:val="21"/>
          <w:szCs w:val="21"/>
        </w:rPr>
      </w:pPr>
      <w:r>
        <w:rPr>
          <w:rFonts w:hint="eastAsia" w:ascii="仿宋" w:hAnsi="仿宋" w:eastAsia="仿宋" w:cs="仿宋"/>
          <w:b/>
          <w:bCs/>
          <w:sz w:val="21"/>
          <w:szCs w:val="21"/>
        </w:rPr>
        <w:t>图2.</w:t>
      </w:r>
      <w:r>
        <w:rPr>
          <w:rFonts w:hint="eastAsia" w:ascii="仿宋" w:hAnsi="仿宋" w:eastAsia="仿宋" w:cs="仿宋"/>
          <w:b/>
          <w:bCs/>
          <w:sz w:val="21"/>
          <w:szCs w:val="21"/>
          <w:lang w:val="en-US" w:eastAsia="zh-CN"/>
        </w:rPr>
        <w:t>1</w:t>
      </w:r>
      <w:r>
        <w:rPr>
          <w:rFonts w:hint="eastAsia" w:ascii="仿宋" w:hAnsi="仿宋" w:eastAsia="仿宋" w:cs="仿宋"/>
          <w:b/>
          <w:bCs/>
          <w:sz w:val="21"/>
          <w:szCs w:val="21"/>
        </w:rPr>
        <w:t xml:space="preserve"> 公司周边环境现状示意图</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486400" cy="404622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1"/>
                    <a:stretch>
                      <a:fillRect/>
                    </a:stretch>
                  </pic:blipFill>
                  <pic:spPr>
                    <a:xfrm>
                      <a:off x="0" y="0"/>
                      <a:ext cx="5486400" cy="4046220"/>
                    </a:xfrm>
                    <a:prstGeom prst="rect">
                      <a:avLst/>
                    </a:prstGeom>
                  </pic:spPr>
                </pic:pic>
              </a:graphicData>
            </a:graphic>
          </wp:inline>
        </w:drawing>
      </w:r>
    </w:p>
    <w:p>
      <w:pPr>
        <w:spacing w:line="360" w:lineRule="auto"/>
        <w:jc w:val="center"/>
        <w:rPr>
          <w:rFonts w:hint="eastAsia" w:ascii="仿宋" w:hAnsi="仿宋" w:eastAsia="仿宋" w:cs="仿宋"/>
          <w:b/>
          <w:bCs/>
          <w:sz w:val="21"/>
          <w:szCs w:val="21"/>
        </w:rPr>
      </w:pPr>
      <w:r>
        <w:rPr>
          <w:rFonts w:hint="eastAsia" w:ascii="仿宋" w:hAnsi="仿宋" w:eastAsia="仿宋" w:cs="仿宋"/>
          <w:b/>
          <w:bCs/>
          <w:sz w:val="21"/>
          <w:szCs w:val="21"/>
        </w:rPr>
        <w:t>图2.</w:t>
      </w:r>
      <w:r>
        <w:rPr>
          <w:rFonts w:hint="eastAsia" w:ascii="仿宋" w:hAnsi="仿宋" w:eastAsia="仿宋" w:cs="仿宋"/>
          <w:b/>
          <w:bCs/>
          <w:sz w:val="21"/>
          <w:szCs w:val="21"/>
          <w:lang w:val="en-US" w:eastAsia="zh-CN"/>
        </w:rPr>
        <w:t>2</w:t>
      </w:r>
      <w:r>
        <w:rPr>
          <w:rFonts w:hint="eastAsia" w:ascii="仿宋" w:hAnsi="仿宋" w:eastAsia="仿宋" w:cs="仿宋"/>
          <w:b/>
          <w:bCs/>
          <w:sz w:val="21"/>
          <w:szCs w:val="21"/>
        </w:rPr>
        <w:t>环境保护目标示意图（5km范围）</w:t>
      </w:r>
    </w:p>
    <w:p>
      <w:pPr>
        <w:spacing w:before="163" w:beforeLines="50"/>
        <w:jc w:val="center"/>
        <w:rPr>
          <w:rFonts w:hint="eastAsia" w:ascii="仿宋" w:hAnsi="仿宋" w:eastAsia="仿宋" w:cs="仿宋"/>
          <w:b/>
          <w:bCs/>
          <w:sz w:val="21"/>
          <w:szCs w:val="21"/>
        </w:rPr>
      </w:pPr>
      <w:r>
        <w:rPr>
          <w:rFonts w:hint="eastAsia" w:ascii="仿宋" w:hAnsi="仿宋" w:eastAsia="仿宋" w:cs="仿宋"/>
          <w:b/>
          <w:bCs/>
          <w:sz w:val="21"/>
          <w:szCs w:val="21"/>
        </w:rPr>
        <w:t>表2-</w:t>
      </w:r>
      <w:r>
        <w:rPr>
          <w:rFonts w:hint="eastAsia" w:ascii="仿宋" w:hAnsi="仿宋" w:eastAsia="仿宋" w:cs="仿宋"/>
          <w:b/>
          <w:bCs/>
          <w:sz w:val="21"/>
          <w:szCs w:val="21"/>
          <w:lang w:val="en-US" w:eastAsia="zh-CN"/>
        </w:rPr>
        <w:t>1</w:t>
      </w:r>
      <w:r>
        <w:rPr>
          <w:rFonts w:hint="eastAsia" w:ascii="仿宋" w:hAnsi="仿宋" w:eastAsia="仿宋" w:cs="仿宋"/>
          <w:b/>
          <w:bCs/>
          <w:sz w:val="21"/>
          <w:szCs w:val="21"/>
        </w:rPr>
        <w:t xml:space="preserve"> 项目周边环境或企业情况一览表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2"/>
        <w:gridCol w:w="2950"/>
        <w:gridCol w:w="1894"/>
        <w:gridCol w:w="2857"/>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方位</w:t>
            </w:r>
          </w:p>
        </w:tc>
        <w:tc>
          <w:tcPr>
            <w:tcW w:w="152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周边环境或企业名称</w:t>
            </w:r>
          </w:p>
        </w:tc>
        <w:tc>
          <w:tcPr>
            <w:tcW w:w="9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建筑设计防火规范GB50016-2014</w:t>
            </w:r>
          </w:p>
        </w:tc>
        <w:tc>
          <w:tcPr>
            <w:tcW w:w="14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与企业围墙距离</w:t>
            </w: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sz w:val="24"/>
                <w:szCs w:val="24"/>
              </w:rPr>
            </w:pPr>
            <w:r>
              <w:rPr>
                <w:rFonts w:hint="eastAsia" w:ascii="仿宋" w:hAnsi="仿宋" w:eastAsia="仿宋" w:cs="仿宋"/>
                <w:b/>
                <w:sz w:val="24"/>
                <w:szCs w:val="24"/>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33" w:type="pct"/>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东</w:t>
            </w:r>
          </w:p>
        </w:tc>
        <w:tc>
          <w:tcPr>
            <w:tcW w:w="152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长江北路</w:t>
            </w:r>
          </w:p>
        </w:tc>
        <w:tc>
          <w:tcPr>
            <w:tcW w:w="9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15</w:t>
            </w:r>
          </w:p>
        </w:tc>
        <w:tc>
          <w:tcPr>
            <w:tcW w:w="14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15m</w:t>
            </w: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33" w:type="pct"/>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p>
        </w:tc>
        <w:tc>
          <w:tcPr>
            <w:tcW w:w="152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康宁化学</w:t>
            </w:r>
          </w:p>
        </w:tc>
        <w:tc>
          <w:tcPr>
            <w:tcW w:w="9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w:t>
            </w:r>
          </w:p>
        </w:tc>
        <w:tc>
          <w:tcPr>
            <w:tcW w:w="14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30m</w:t>
            </w: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33" w:type="pct"/>
            <w:vMerge w:val="restart"/>
            <w:tcBorders>
              <w:top w:val="single" w:color="auto" w:sz="4" w:space="0"/>
              <w:left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南</w:t>
            </w:r>
          </w:p>
        </w:tc>
        <w:tc>
          <w:tcPr>
            <w:tcW w:w="152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东华路</w:t>
            </w:r>
          </w:p>
        </w:tc>
        <w:tc>
          <w:tcPr>
            <w:tcW w:w="9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15</w:t>
            </w:r>
          </w:p>
        </w:tc>
        <w:tc>
          <w:tcPr>
            <w:tcW w:w="14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15m</w:t>
            </w: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33" w:type="pct"/>
            <w:vMerge w:val="continue"/>
            <w:tcBorders>
              <w:left w:val="single" w:color="auto" w:sz="4" w:space="0"/>
              <w:right w:val="single" w:color="auto" w:sz="4" w:space="0"/>
            </w:tcBorders>
            <w:vAlign w:val="center"/>
          </w:tcPr>
          <w:p>
            <w:pPr>
              <w:jc w:val="center"/>
              <w:rPr>
                <w:rFonts w:hint="eastAsia" w:ascii="仿宋" w:hAnsi="仿宋" w:eastAsia="仿宋" w:cs="仿宋"/>
                <w:sz w:val="24"/>
                <w:szCs w:val="24"/>
              </w:rPr>
            </w:pPr>
          </w:p>
        </w:tc>
        <w:tc>
          <w:tcPr>
            <w:tcW w:w="152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孚宝物流公司</w:t>
            </w:r>
          </w:p>
        </w:tc>
        <w:tc>
          <w:tcPr>
            <w:tcW w:w="9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25</w:t>
            </w:r>
          </w:p>
        </w:tc>
        <w:tc>
          <w:tcPr>
            <w:tcW w:w="14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30m</w:t>
            </w: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33" w:type="pct"/>
            <w:vMerge w:val="continue"/>
            <w:tcBorders>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p>
        </w:tc>
        <w:tc>
          <w:tcPr>
            <w:tcW w:w="152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保税区物流园</w:t>
            </w:r>
          </w:p>
        </w:tc>
        <w:tc>
          <w:tcPr>
            <w:tcW w:w="9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12</w:t>
            </w:r>
          </w:p>
        </w:tc>
        <w:tc>
          <w:tcPr>
            <w:tcW w:w="14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30m</w:t>
            </w: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西</w:t>
            </w:r>
          </w:p>
        </w:tc>
        <w:tc>
          <w:tcPr>
            <w:tcW w:w="152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长江</w:t>
            </w:r>
          </w:p>
        </w:tc>
        <w:tc>
          <w:tcPr>
            <w:tcW w:w="9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w:t>
            </w:r>
          </w:p>
        </w:tc>
        <w:tc>
          <w:tcPr>
            <w:tcW w:w="14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w:t>
            </w: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西南</w:t>
            </w:r>
          </w:p>
        </w:tc>
        <w:tc>
          <w:tcPr>
            <w:tcW w:w="152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东华能源公司</w:t>
            </w:r>
          </w:p>
        </w:tc>
        <w:tc>
          <w:tcPr>
            <w:tcW w:w="9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12</w:t>
            </w:r>
          </w:p>
        </w:tc>
        <w:tc>
          <w:tcPr>
            <w:tcW w:w="14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20m</w:t>
            </w: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北</w:t>
            </w:r>
          </w:p>
        </w:tc>
        <w:tc>
          <w:tcPr>
            <w:tcW w:w="152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扬子江石化</w:t>
            </w:r>
          </w:p>
        </w:tc>
        <w:tc>
          <w:tcPr>
            <w:tcW w:w="978"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w:t>
            </w:r>
          </w:p>
        </w:tc>
        <w:tc>
          <w:tcPr>
            <w:tcW w:w="147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w:t>
            </w: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z w:val="24"/>
                <w:szCs w:val="24"/>
              </w:rPr>
            </w:pPr>
            <w:r>
              <w:rPr>
                <w:rFonts w:hint="eastAsia" w:ascii="仿宋" w:hAnsi="仿宋" w:eastAsia="仿宋" w:cs="仿宋"/>
                <w:sz w:val="24"/>
                <w:szCs w:val="24"/>
              </w:rPr>
              <w:t>符合</w:t>
            </w:r>
          </w:p>
        </w:tc>
      </w:tr>
    </w:tbl>
    <w:p>
      <w:pPr>
        <w:spacing w:before="163" w:beforeLines="50"/>
        <w:jc w:val="center"/>
        <w:rPr>
          <w:rFonts w:hint="eastAsia" w:ascii="仿宋" w:hAnsi="仿宋" w:eastAsia="仿宋" w:cs="仿宋"/>
          <w:b/>
          <w:bCs/>
          <w:sz w:val="21"/>
          <w:szCs w:val="21"/>
        </w:rPr>
      </w:pPr>
      <w:r>
        <w:rPr>
          <w:rFonts w:hint="eastAsia" w:ascii="仿宋" w:hAnsi="仿宋" w:eastAsia="仿宋" w:cs="仿宋"/>
          <w:b/>
          <w:bCs/>
          <w:sz w:val="21"/>
          <w:szCs w:val="21"/>
        </w:rPr>
        <w:t>表2-</w:t>
      </w:r>
      <w:r>
        <w:rPr>
          <w:rFonts w:hint="eastAsia" w:ascii="仿宋" w:hAnsi="仿宋" w:eastAsia="仿宋" w:cs="仿宋"/>
          <w:b/>
          <w:bCs/>
          <w:sz w:val="21"/>
          <w:szCs w:val="21"/>
          <w:lang w:val="en-US" w:eastAsia="zh-CN"/>
        </w:rPr>
        <w:t>2</w:t>
      </w:r>
      <w:r>
        <w:rPr>
          <w:rFonts w:hint="eastAsia" w:ascii="仿宋" w:hAnsi="仿宋" w:eastAsia="仿宋" w:cs="仿宋"/>
          <w:b/>
          <w:bCs/>
          <w:sz w:val="21"/>
          <w:szCs w:val="21"/>
        </w:rPr>
        <w:t xml:space="preserve"> 项目周边八大类场所情况一览表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3556"/>
        <w:gridCol w:w="1346"/>
        <w:gridCol w:w="4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eastAsia" w:ascii="仿宋" w:hAnsi="仿宋" w:eastAsia="仿宋" w:cs="仿宋"/>
                <w:b/>
                <w:sz w:val="21"/>
                <w:szCs w:val="21"/>
              </w:rPr>
            </w:pPr>
            <w:r>
              <w:rPr>
                <w:rFonts w:hint="eastAsia" w:ascii="仿宋" w:hAnsi="仿宋" w:eastAsia="仿宋" w:cs="仿宋"/>
                <w:b/>
                <w:sz w:val="21"/>
                <w:szCs w:val="21"/>
              </w:rPr>
              <w:t>序号</w:t>
            </w:r>
          </w:p>
        </w:tc>
        <w:tc>
          <w:tcPr>
            <w:tcW w:w="18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检查内容</w:t>
            </w:r>
          </w:p>
        </w:tc>
        <w:tc>
          <w:tcPr>
            <w:tcW w:w="6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依据</w:t>
            </w:r>
          </w:p>
        </w:tc>
        <w:tc>
          <w:tcPr>
            <w:tcW w:w="22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eastAsia" w:ascii="仿宋" w:hAnsi="仿宋" w:eastAsia="仿宋" w:cs="仿宋"/>
                <w:b/>
                <w:bCs/>
                <w:sz w:val="21"/>
                <w:szCs w:val="21"/>
              </w:rPr>
            </w:pPr>
            <w:r>
              <w:rPr>
                <w:rFonts w:hint="eastAsia" w:ascii="仿宋" w:hAnsi="仿宋" w:eastAsia="仿宋" w:cs="仿宋"/>
                <w:b/>
                <w:bCs/>
                <w:sz w:val="21"/>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32" w:type="pct"/>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18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bCs/>
                <w:sz w:val="21"/>
                <w:szCs w:val="21"/>
              </w:rPr>
            </w:pPr>
            <w:r>
              <w:rPr>
                <w:rFonts w:hint="eastAsia" w:ascii="仿宋" w:hAnsi="仿宋" w:eastAsia="仿宋" w:cs="仿宋"/>
                <w:sz w:val="21"/>
                <w:szCs w:val="21"/>
              </w:rPr>
              <w:t>居民区、商业中心、公园等人口密集区域；</w:t>
            </w:r>
          </w:p>
        </w:tc>
        <w:tc>
          <w:tcPr>
            <w:tcW w:w="695"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jc w:val="left"/>
              <w:textAlignment w:val="auto"/>
              <w:rPr>
                <w:rFonts w:hint="eastAsia" w:ascii="仿宋" w:hAnsi="仿宋" w:eastAsia="仿宋" w:cs="仿宋"/>
                <w:sz w:val="21"/>
                <w:szCs w:val="21"/>
              </w:rPr>
            </w:pPr>
            <w:r>
              <w:rPr>
                <w:rFonts w:hint="eastAsia" w:ascii="仿宋" w:hAnsi="仿宋" w:eastAsia="仿宋" w:cs="仿宋"/>
                <w:sz w:val="21"/>
                <w:szCs w:val="21"/>
              </w:rPr>
              <w:t>《危险化学品安全管理条例》（国务院令第591号）</w:t>
            </w:r>
          </w:p>
        </w:tc>
        <w:tc>
          <w:tcPr>
            <w:tcW w:w="22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sz w:val="21"/>
                <w:szCs w:val="21"/>
              </w:rPr>
            </w:pPr>
            <w:r>
              <w:rPr>
                <w:rFonts w:hint="eastAsia" w:ascii="仿宋" w:hAnsi="仿宋" w:eastAsia="仿宋" w:cs="仿宋"/>
                <w:sz w:val="21"/>
                <w:szCs w:val="21"/>
              </w:rPr>
              <w:t>500m范围内无居民区、商业中心、公园等人口密集区域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2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eastAsia" w:ascii="仿宋" w:hAnsi="仿宋" w:eastAsia="仿宋" w:cs="仿宋"/>
                <w:sz w:val="21"/>
                <w:szCs w:val="21"/>
              </w:rPr>
            </w:pPr>
            <w:r>
              <w:rPr>
                <w:rFonts w:hint="eastAsia" w:ascii="仿宋" w:hAnsi="仿宋" w:eastAsia="仿宋" w:cs="仿宋"/>
                <w:sz w:val="21"/>
                <w:szCs w:val="21"/>
              </w:rPr>
              <w:t>2</w:t>
            </w:r>
          </w:p>
        </w:tc>
        <w:tc>
          <w:tcPr>
            <w:tcW w:w="18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bCs/>
                <w:sz w:val="21"/>
                <w:szCs w:val="21"/>
              </w:rPr>
            </w:pPr>
            <w:r>
              <w:rPr>
                <w:rFonts w:hint="eastAsia" w:ascii="仿宋" w:hAnsi="仿宋" w:eastAsia="仿宋" w:cs="仿宋"/>
                <w:sz w:val="21"/>
                <w:szCs w:val="21"/>
              </w:rPr>
              <w:t>学校、医院、影剧院、体育场（馆）等公共设施；</w:t>
            </w:r>
          </w:p>
        </w:tc>
        <w:tc>
          <w:tcPr>
            <w:tcW w:w="69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eastAsia" w:ascii="仿宋" w:hAnsi="仿宋" w:eastAsia="仿宋" w:cs="仿宋"/>
                <w:bCs/>
                <w:sz w:val="21"/>
                <w:szCs w:val="21"/>
              </w:rPr>
            </w:pPr>
          </w:p>
        </w:tc>
        <w:tc>
          <w:tcPr>
            <w:tcW w:w="22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sz w:val="21"/>
                <w:szCs w:val="21"/>
              </w:rPr>
            </w:pPr>
            <w:r>
              <w:rPr>
                <w:rFonts w:hint="eastAsia" w:ascii="仿宋" w:hAnsi="仿宋" w:eastAsia="仿宋" w:cs="仿宋"/>
                <w:sz w:val="21"/>
                <w:szCs w:val="21"/>
              </w:rPr>
              <w:t>500m范围内无学校、医院、影剧院、体育场(馆)等公共设施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eastAsia" w:ascii="仿宋" w:hAnsi="仿宋" w:eastAsia="仿宋" w:cs="仿宋"/>
                <w:sz w:val="21"/>
                <w:szCs w:val="21"/>
              </w:rPr>
            </w:pPr>
            <w:r>
              <w:rPr>
                <w:rFonts w:hint="eastAsia" w:ascii="仿宋" w:hAnsi="仿宋" w:eastAsia="仿宋" w:cs="仿宋"/>
                <w:sz w:val="21"/>
                <w:szCs w:val="21"/>
              </w:rPr>
              <w:t>3</w:t>
            </w:r>
          </w:p>
        </w:tc>
        <w:tc>
          <w:tcPr>
            <w:tcW w:w="18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sz w:val="21"/>
                <w:szCs w:val="21"/>
              </w:rPr>
            </w:pPr>
            <w:r>
              <w:rPr>
                <w:rFonts w:hint="eastAsia" w:ascii="仿宋" w:hAnsi="仿宋" w:eastAsia="仿宋" w:cs="仿宋"/>
                <w:sz w:val="21"/>
                <w:szCs w:val="21"/>
              </w:rPr>
              <w:t>供水水源、水厂及水源保护区；</w:t>
            </w:r>
          </w:p>
        </w:tc>
        <w:tc>
          <w:tcPr>
            <w:tcW w:w="69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eastAsia" w:ascii="仿宋" w:hAnsi="仿宋" w:eastAsia="仿宋" w:cs="仿宋"/>
                <w:bCs/>
                <w:sz w:val="21"/>
                <w:szCs w:val="21"/>
              </w:rPr>
            </w:pPr>
          </w:p>
        </w:tc>
        <w:tc>
          <w:tcPr>
            <w:tcW w:w="22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sz w:val="21"/>
                <w:szCs w:val="21"/>
              </w:rPr>
            </w:pPr>
            <w:r>
              <w:rPr>
                <w:rFonts w:hint="eastAsia" w:ascii="仿宋" w:hAnsi="仿宋" w:eastAsia="仿宋" w:cs="仿宋"/>
                <w:sz w:val="21"/>
                <w:szCs w:val="21"/>
              </w:rPr>
              <w:t>双狮精化500m范围内无水厂及水源保护区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2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eastAsia" w:ascii="仿宋" w:hAnsi="仿宋" w:eastAsia="仿宋" w:cs="仿宋"/>
                <w:sz w:val="21"/>
                <w:szCs w:val="21"/>
              </w:rPr>
            </w:pPr>
            <w:r>
              <w:rPr>
                <w:rFonts w:hint="eastAsia" w:ascii="仿宋" w:hAnsi="仿宋" w:eastAsia="仿宋" w:cs="仿宋"/>
                <w:sz w:val="21"/>
                <w:szCs w:val="21"/>
              </w:rPr>
              <w:t>4</w:t>
            </w:r>
          </w:p>
        </w:tc>
        <w:tc>
          <w:tcPr>
            <w:tcW w:w="18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sz w:val="21"/>
                <w:szCs w:val="21"/>
              </w:rPr>
            </w:pPr>
            <w:r>
              <w:rPr>
                <w:rFonts w:hint="eastAsia" w:ascii="仿宋" w:hAnsi="仿宋" w:eastAsia="仿宋" w:cs="仿宋"/>
                <w:sz w:val="21"/>
                <w:szCs w:val="21"/>
              </w:rPr>
              <w:t>车站、码头（按照国家规定，经批准，专门从事危险化学品装卸作业的除外）、机场以及公路、铁路、地铁风亭及出入口；</w:t>
            </w:r>
          </w:p>
        </w:tc>
        <w:tc>
          <w:tcPr>
            <w:tcW w:w="69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eastAsia" w:ascii="仿宋" w:hAnsi="仿宋" w:eastAsia="仿宋" w:cs="仿宋"/>
                <w:bCs/>
                <w:sz w:val="21"/>
                <w:szCs w:val="21"/>
              </w:rPr>
            </w:pPr>
          </w:p>
        </w:tc>
        <w:tc>
          <w:tcPr>
            <w:tcW w:w="22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sz w:val="21"/>
                <w:szCs w:val="21"/>
              </w:rPr>
            </w:pPr>
            <w:r>
              <w:rPr>
                <w:rFonts w:hint="eastAsia" w:ascii="仿宋" w:hAnsi="仿宋" w:eastAsia="仿宋" w:cs="仿宋"/>
                <w:sz w:val="21"/>
                <w:szCs w:val="21"/>
              </w:rPr>
              <w:t>500m范围内</w:t>
            </w:r>
            <w:r>
              <w:rPr>
                <w:rFonts w:hint="eastAsia" w:ascii="仿宋" w:hAnsi="仿宋" w:eastAsia="仿宋" w:cs="仿宋"/>
                <w:sz w:val="21"/>
                <w:szCs w:val="21"/>
                <w:lang w:val="en-US" w:eastAsia="zh-CN"/>
              </w:rPr>
              <w:t>无</w:t>
            </w:r>
            <w:r>
              <w:rPr>
                <w:rFonts w:hint="eastAsia" w:ascii="仿宋" w:hAnsi="仿宋" w:eastAsia="仿宋" w:cs="仿宋"/>
                <w:sz w:val="21"/>
                <w:szCs w:val="21"/>
              </w:rPr>
              <w:t>车站、码头（按照国家规定，经批准，专门从事危险化学品装卸作业的除外）、机场以及公路、铁路、地铁风亭及出入口；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eastAsia" w:ascii="仿宋" w:hAnsi="仿宋" w:eastAsia="仿宋" w:cs="仿宋"/>
                <w:sz w:val="21"/>
                <w:szCs w:val="21"/>
              </w:rPr>
            </w:pPr>
            <w:r>
              <w:rPr>
                <w:rFonts w:hint="eastAsia" w:ascii="仿宋" w:hAnsi="仿宋" w:eastAsia="仿宋" w:cs="仿宋"/>
                <w:sz w:val="21"/>
                <w:szCs w:val="21"/>
              </w:rPr>
              <w:t>5</w:t>
            </w:r>
          </w:p>
        </w:tc>
        <w:tc>
          <w:tcPr>
            <w:tcW w:w="18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sz w:val="21"/>
                <w:szCs w:val="21"/>
              </w:rPr>
            </w:pPr>
            <w:r>
              <w:rPr>
                <w:rFonts w:hint="eastAsia" w:ascii="仿宋" w:hAnsi="仿宋" w:eastAsia="仿宋" w:cs="仿宋"/>
                <w:sz w:val="21"/>
                <w:szCs w:val="21"/>
              </w:rPr>
              <w:t>基本农田保护区、畜牧区、渔业水域和种子、种畜、水产苗种生产基地；</w:t>
            </w:r>
          </w:p>
        </w:tc>
        <w:tc>
          <w:tcPr>
            <w:tcW w:w="69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eastAsia" w:ascii="仿宋" w:hAnsi="仿宋" w:eastAsia="仿宋" w:cs="仿宋"/>
                <w:bCs/>
                <w:sz w:val="21"/>
                <w:szCs w:val="21"/>
              </w:rPr>
            </w:pPr>
          </w:p>
        </w:tc>
        <w:tc>
          <w:tcPr>
            <w:tcW w:w="22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sz w:val="21"/>
                <w:szCs w:val="21"/>
              </w:rPr>
            </w:pPr>
            <w:r>
              <w:rPr>
                <w:rFonts w:hint="eastAsia" w:ascii="仿宋" w:hAnsi="仿宋" w:eastAsia="仿宋" w:cs="仿宋"/>
                <w:sz w:val="21"/>
                <w:szCs w:val="21"/>
              </w:rPr>
              <w:t>500m范围内内无相关场所、区域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2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eastAsia" w:ascii="仿宋" w:hAnsi="仿宋" w:eastAsia="仿宋" w:cs="仿宋"/>
                <w:sz w:val="21"/>
                <w:szCs w:val="21"/>
              </w:rPr>
            </w:pPr>
            <w:r>
              <w:rPr>
                <w:rFonts w:hint="eastAsia" w:ascii="仿宋" w:hAnsi="仿宋" w:eastAsia="仿宋" w:cs="仿宋"/>
                <w:sz w:val="21"/>
                <w:szCs w:val="21"/>
              </w:rPr>
              <w:t>6</w:t>
            </w:r>
          </w:p>
        </w:tc>
        <w:tc>
          <w:tcPr>
            <w:tcW w:w="18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sz w:val="21"/>
                <w:szCs w:val="21"/>
              </w:rPr>
            </w:pPr>
            <w:r>
              <w:rPr>
                <w:rFonts w:hint="eastAsia" w:ascii="仿宋" w:hAnsi="仿宋" w:eastAsia="仿宋" w:cs="仿宋"/>
                <w:sz w:val="21"/>
                <w:szCs w:val="21"/>
              </w:rPr>
              <w:t>河流、湖泊、风景名胜区和自然保护区；</w:t>
            </w:r>
          </w:p>
        </w:tc>
        <w:tc>
          <w:tcPr>
            <w:tcW w:w="69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eastAsia" w:ascii="仿宋" w:hAnsi="仿宋" w:eastAsia="仿宋" w:cs="仿宋"/>
                <w:bCs/>
                <w:sz w:val="21"/>
                <w:szCs w:val="21"/>
              </w:rPr>
            </w:pPr>
          </w:p>
        </w:tc>
        <w:tc>
          <w:tcPr>
            <w:tcW w:w="22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b/>
                <w:sz w:val="21"/>
                <w:szCs w:val="21"/>
              </w:rPr>
            </w:pPr>
            <w:r>
              <w:rPr>
                <w:rFonts w:hint="eastAsia" w:ascii="仿宋" w:hAnsi="仿宋" w:eastAsia="仿宋" w:cs="仿宋"/>
                <w:sz w:val="21"/>
                <w:szCs w:val="21"/>
                <w:lang w:val="en-US" w:eastAsia="zh-CN"/>
              </w:rPr>
              <w:t>厂区紧邻长江，</w:t>
            </w:r>
            <w:r>
              <w:rPr>
                <w:rFonts w:hint="eastAsia" w:ascii="仿宋" w:hAnsi="仿宋" w:eastAsia="仿宋" w:cs="仿宋"/>
                <w:sz w:val="21"/>
                <w:szCs w:val="21"/>
              </w:rPr>
              <w:t>500m范围内无湖泊、风景名胜区和自然保护区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eastAsia" w:ascii="仿宋" w:hAnsi="仿宋" w:eastAsia="仿宋" w:cs="仿宋"/>
                <w:sz w:val="21"/>
                <w:szCs w:val="21"/>
              </w:rPr>
            </w:pPr>
            <w:r>
              <w:rPr>
                <w:rFonts w:hint="eastAsia" w:ascii="仿宋" w:hAnsi="仿宋" w:eastAsia="仿宋" w:cs="仿宋"/>
                <w:sz w:val="21"/>
                <w:szCs w:val="21"/>
              </w:rPr>
              <w:t>7</w:t>
            </w:r>
          </w:p>
        </w:tc>
        <w:tc>
          <w:tcPr>
            <w:tcW w:w="18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sz w:val="21"/>
                <w:szCs w:val="21"/>
              </w:rPr>
            </w:pPr>
            <w:r>
              <w:rPr>
                <w:rFonts w:hint="eastAsia" w:ascii="仿宋" w:hAnsi="仿宋" w:eastAsia="仿宋" w:cs="仿宋"/>
                <w:sz w:val="21"/>
                <w:szCs w:val="21"/>
              </w:rPr>
              <w:t>军事禁区、军事管理区；</w:t>
            </w:r>
          </w:p>
        </w:tc>
        <w:tc>
          <w:tcPr>
            <w:tcW w:w="69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eastAsia" w:ascii="仿宋" w:hAnsi="仿宋" w:eastAsia="仿宋" w:cs="仿宋"/>
                <w:bCs/>
                <w:sz w:val="21"/>
                <w:szCs w:val="21"/>
              </w:rPr>
            </w:pPr>
          </w:p>
        </w:tc>
        <w:tc>
          <w:tcPr>
            <w:tcW w:w="22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sz w:val="21"/>
                <w:szCs w:val="21"/>
              </w:rPr>
            </w:pPr>
            <w:r>
              <w:rPr>
                <w:rFonts w:hint="eastAsia" w:ascii="仿宋" w:hAnsi="仿宋" w:eastAsia="仿宋" w:cs="仿宋"/>
                <w:sz w:val="21"/>
                <w:szCs w:val="21"/>
              </w:rPr>
              <w:t>500m范围内无军事禁区、军事管理区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3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jc w:val="center"/>
              <w:textAlignment w:val="auto"/>
              <w:rPr>
                <w:rFonts w:hint="eastAsia" w:ascii="仿宋" w:hAnsi="仿宋" w:eastAsia="仿宋" w:cs="仿宋"/>
                <w:sz w:val="21"/>
                <w:szCs w:val="21"/>
              </w:rPr>
            </w:pPr>
            <w:r>
              <w:rPr>
                <w:rFonts w:hint="eastAsia" w:ascii="仿宋" w:hAnsi="仿宋" w:eastAsia="仿宋" w:cs="仿宋"/>
                <w:sz w:val="21"/>
                <w:szCs w:val="21"/>
              </w:rPr>
              <w:t>8</w:t>
            </w:r>
          </w:p>
        </w:tc>
        <w:tc>
          <w:tcPr>
            <w:tcW w:w="18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sz w:val="21"/>
                <w:szCs w:val="21"/>
              </w:rPr>
            </w:pPr>
            <w:r>
              <w:rPr>
                <w:rFonts w:hint="eastAsia" w:ascii="仿宋" w:hAnsi="仿宋" w:eastAsia="仿宋" w:cs="仿宋"/>
                <w:sz w:val="21"/>
                <w:szCs w:val="21"/>
                <w:shd w:val="clear" w:color="auto" w:fill="FFFFFF"/>
              </w:rPr>
              <w:t>法律、行政法规规定予以保护的其他区域。</w:t>
            </w:r>
          </w:p>
        </w:tc>
        <w:tc>
          <w:tcPr>
            <w:tcW w:w="695"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0" w:lineRule="atLeast"/>
              <w:jc w:val="left"/>
              <w:textAlignment w:val="auto"/>
              <w:rPr>
                <w:rFonts w:hint="eastAsia" w:ascii="仿宋" w:hAnsi="仿宋" w:eastAsia="仿宋" w:cs="仿宋"/>
                <w:bCs/>
                <w:sz w:val="21"/>
                <w:szCs w:val="21"/>
              </w:rPr>
            </w:pPr>
          </w:p>
        </w:tc>
        <w:tc>
          <w:tcPr>
            <w:tcW w:w="2237"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0" w:lineRule="atLeast"/>
              <w:textAlignment w:val="auto"/>
              <w:rPr>
                <w:rFonts w:hint="eastAsia" w:ascii="仿宋" w:hAnsi="仿宋" w:eastAsia="仿宋" w:cs="仿宋"/>
                <w:sz w:val="21"/>
                <w:szCs w:val="21"/>
              </w:rPr>
            </w:pPr>
            <w:r>
              <w:rPr>
                <w:rFonts w:hint="eastAsia" w:ascii="仿宋" w:hAnsi="仿宋" w:eastAsia="仿宋" w:cs="仿宋"/>
                <w:sz w:val="21"/>
                <w:szCs w:val="21"/>
              </w:rPr>
              <w:t>厂址附近无左述内容</w:t>
            </w:r>
          </w:p>
        </w:tc>
      </w:tr>
    </w:tbl>
    <w:p>
      <w:pPr>
        <w:spacing w:before="163" w:beforeLines="50"/>
        <w:jc w:val="center"/>
        <w:rPr>
          <w:rFonts w:hint="eastAsia" w:ascii="仿宋" w:hAnsi="仿宋" w:eastAsia="仿宋" w:cs="仿宋"/>
          <w:b/>
          <w:bCs/>
          <w:sz w:val="21"/>
          <w:szCs w:val="21"/>
        </w:rPr>
      </w:pPr>
      <w:r>
        <w:rPr>
          <w:rFonts w:hint="eastAsia" w:ascii="仿宋" w:hAnsi="仿宋" w:eastAsia="仿宋" w:cs="仿宋"/>
          <w:b/>
          <w:bCs/>
          <w:sz w:val="21"/>
          <w:szCs w:val="21"/>
        </w:rPr>
        <w:t>表2-</w:t>
      </w:r>
      <w:r>
        <w:rPr>
          <w:rFonts w:hint="eastAsia" w:ascii="仿宋" w:hAnsi="仿宋" w:eastAsia="仿宋" w:cs="仿宋"/>
          <w:b/>
          <w:bCs/>
          <w:sz w:val="21"/>
          <w:szCs w:val="21"/>
          <w:lang w:val="en-US" w:eastAsia="zh-CN"/>
        </w:rPr>
        <w:t xml:space="preserve">3 </w:t>
      </w:r>
      <w:r>
        <w:rPr>
          <w:rFonts w:hint="eastAsia" w:ascii="仿宋" w:hAnsi="仿宋" w:eastAsia="仿宋" w:cs="仿宋"/>
          <w:b/>
          <w:bCs/>
          <w:sz w:val="21"/>
          <w:szCs w:val="21"/>
        </w:rPr>
        <w:t>项目周边5 km范围内环境敏感目标情况一览表</w:t>
      </w:r>
    </w:p>
    <w:tbl>
      <w:tblPr>
        <w:tblStyle w:val="217"/>
        <w:tblW w:w="5000" w:type="pct"/>
        <w:jc w:val="center"/>
        <w:tblLayout w:type="autofit"/>
        <w:tblCellMar>
          <w:top w:w="0" w:type="dxa"/>
          <w:left w:w="0" w:type="dxa"/>
          <w:bottom w:w="0" w:type="dxa"/>
          <w:right w:w="0" w:type="dxa"/>
        </w:tblCellMar>
      </w:tblPr>
      <w:tblGrid>
        <w:gridCol w:w="675"/>
        <w:gridCol w:w="536"/>
        <w:gridCol w:w="606"/>
        <w:gridCol w:w="1784"/>
        <w:gridCol w:w="857"/>
        <w:gridCol w:w="1345"/>
        <w:gridCol w:w="1683"/>
        <w:gridCol w:w="952"/>
        <w:gridCol w:w="1060"/>
      </w:tblGrid>
      <w:tr>
        <w:tblPrEx>
          <w:tblCellMar>
            <w:top w:w="0" w:type="dxa"/>
            <w:left w:w="0" w:type="dxa"/>
            <w:bottom w:w="0" w:type="dxa"/>
            <w:right w:w="0" w:type="dxa"/>
          </w:tblCellMar>
        </w:tblPrEx>
        <w:trPr>
          <w:trHeight w:val="971" w:hRule="exact"/>
          <w:jc w:val="center"/>
        </w:trPr>
        <w:tc>
          <w:tcPr>
            <w:tcW w:w="356" w:type="pct"/>
            <w:tcBorders>
              <w:top w:val="single" w:color="000000" w:sz="12" w:space="0"/>
              <w:left w:val="single" w:color="000000" w:sz="12" w:space="0"/>
              <w:bottom w:val="single" w:color="000000" w:sz="2" w:space="0"/>
              <w:right w:val="single" w:color="000000" w:sz="2" w:space="0"/>
            </w:tcBorders>
            <w:vAlign w:val="center"/>
          </w:tcPr>
          <w:p>
            <w:pPr>
              <w:autoSpaceDE w:val="0"/>
              <w:autoSpaceDN w:val="0"/>
              <w:jc w:val="center"/>
              <w:rPr>
                <w:rFonts w:hint="eastAsia" w:ascii="仿宋" w:hAnsi="仿宋" w:eastAsia="仿宋" w:cs="仿宋"/>
                <w:b/>
                <w:kern w:val="0"/>
                <w:sz w:val="21"/>
                <w:szCs w:val="21"/>
                <w:lang w:eastAsia="en-US"/>
              </w:rPr>
            </w:pPr>
            <w:r>
              <w:rPr>
                <w:rFonts w:hint="eastAsia" w:ascii="仿宋" w:hAnsi="仿宋" w:eastAsia="仿宋" w:cs="仿宋"/>
                <w:b/>
                <w:kern w:val="0"/>
                <w:sz w:val="21"/>
                <w:szCs w:val="21"/>
                <w:lang w:eastAsia="en-US"/>
              </w:rPr>
              <w:t>环境</w:t>
            </w:r>
          </w:p>
          <w:p>
            <w:pPr>
              <w:autoSpaceDE w:val="0"/>
              <w:autoSpaceDN w:val="0"/>
              <w:jc w:val="center"/>
              <w:rPr>
                <w:rFonts w:hint="eastAsia" w:ascii="仿宋" w:hAnsi="仿宋" w:eastAsia="仿宋" w:cs="仿宋"/>
                <w:b/>
                <w:kern w:val="0"/>
                <w:sz w:val="21"/>
                <w:szCs w:val="21"/>
                <w:lang w:eastAsia="en-US"/>
              </w:rPr>
            </w:pPr>
            <w:r>
              <w:rPr>
                <w:rFonts w:hint="eastAsia" w:ascii="仿宋" w:hAnsi="仿宋" w:eastAsia="仿宋" w:cs="仿宋"/>
                <w:b/>
                <w:kern w:val="0"/>
                <w:sz w:val="21"/>
                <w:szCs w:val="21"/>
                <w:lang w:eastAsia="en-US"/>
              </w:rPr>
              <w:t>类别</w:t>
            </w:r>
          </w:p>
        </w:tc>
        <w:tc>
          <w:tcPr>
            <w:tcW w:w="282" w:type="pct"/>
            <w:tcBorders>
              <w:top w:val="single" w:color="000000" w:sz="1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b/>
                <w:kern w:val="0"/>
                <w:sz w:val="21"/>
                <w:szCs w:val="21"/>
                <w:lang w:eastAsia="en-US"/>
              </w:rPr>
            </w:pPr>
            <w:r>
              <w:rPr>
                <w:rFonts w:hint="eastAsia" w:ascii="仿宋" w:hAnsi="仿宋" w:eastAsia="仿宋" w:cs="仿宋"/>
                <w:b/>
                <w:kern w:val="0"/>
                <w:sz w:val="21"/>
                <w:szCs w:val="21"/>
                <w:lang w:eastAsia="en-US"/>
              </w:rPr>
              <w:t>序号</w:t>
            </w:r>
          </w:p>
        </w:tc>
        <w:tc>
          <w:tcPr>
            <w:tcW w:w="1258" w:type="pct"/>
            <w:gridSpan w:val="2"/>
            <w:tcBorders>
              <w:top w:val="single" w:color="000000" w:sz="1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b/>
                <w:kern w:val="0"/>
                <w:sz w:val="21"/>
                <w:szCs w:val="21"/>
                <w:lang w:eastAsia="en-US"/>
              </w:rPr>
            </w:pPr>
            <w:r>
              <w:rPr>
                <w:rFonts w:hint="eastAsia" w:ascii="仿宋" w:hAnsi="仿宋" w:eastAsia="仿宋" w:cs="仿宋"/>
                <w:b/>
                <w:kern w:val="0"/>
                <w:sz w:val="21"/>
                <w:szCs w:val="21"/>
                <w:lang w:eastAsia="en-US"/>
              </w:rPr>
              <w:t>现状环境保护</w:t>
            </w:r>
          </w:p>
        </w:tc>
        <w:tc>
          <w:tcPr>
            <w:tcW w:w="451" w:type="pct"/>
            <w:tcBorders>
              <w:top w:val="single" w:color="000000" w:sz="1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b/>
                <w:kern w:val="0"/>
                <w:sz w:val="21"/>
                <w:szCs w:val="21"/>
                <w:lang w:eastAsia="en-US"/>
              </w:rPr>
            </w:pPr>
            <w:r>
              <w:rPr>
                <w:rFonts w:hint="eastAsia" w:ascii="仿宋" w:hAnsi="仿宋" w:eastAsia="仿宋" w:cs="仿宋"/>
                <w:b/>
                <w:kern w:val="0"/>
                <w:sz w:val="21"/>
                <w:szCs w:val="21"/>
                <w:lang w:eastAsia="en-US"/>
              </w:rPr>
              <w:t>与本公</w:t>
            </w:r>
          </w:p>
          <w:p>
            <w:pPr>
              <w:autoSpaceDE w:val="0"/>
              <w:autoSpaceDN w:val="0"/>
              <w:jc w:val="center"/>
              <w:rPr>
                <w:rFonts w:hint="eastAsia" w:ascii="仿宋" w:hAnsi="仿宋" w:eastAsia="仿宋" w:cs="仿宋"/>
                <w:b/>
                <w:kern w:val="0"/>
                <w:sz w:val="21"/>
                <w:szCs w:val="21"/>
                <w:lang w:eastAsia="en-US"/>
              </w:rPr>
            </w:pPr>
            <w:r>
              <w:rPr>
                <w:rFonts w:hint="eastAsia" w:ascii="仿宋" w:hAnsi="仿宋" w:eastAsia="仿宋" w:cs="仿宋"/>
                <w:b/>
                <w:kern w:val="0"/>
                <w:sz w:val="21"/>
                <w:szCs w:val="21"/>
                <w:lang w:eastAsia="en-US"/>
              </w:rPr>
              <w:t>司方位</w:t>
            </w:r>
          </w:p>
        </w:tc>
        <w:tc>
          <w:tcPr>
            <w:tcW w:w="708" w:type="pct"/>
            <w:tcBorders>
              <w:top w:val="single" w:color="000000" w:sz="1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b/>
                <w:kern w:val="0"/>
                <w:sz w:val="21"/>
                <w:szCs w:val="21"/>
                <w:lang w:eastAsia="en-US"/>
              </w:rPr>
            </w:pPr>
            <w:r>
              <w:rPr>
                <w:rFonts w:hint="eastAsia" w:ascii="仿宋" w:hAnsi="仿宋" w:eastAsia="仿宋" w:cs="仿宋"/>
                <w:b/>
                <w:kern w:val="0"/>
                <w:sz w:val="21"/>
                <w:szCs w:val="21"/>
                <w:lang w:eastAsia="en-US"/>
              </w:rPr>
              <w:t>距厂界最近距离（m）</w:t>
            </w:r>
          </w:p>
        </w:tc>
        <w:tc>
          <w:tcPr>
            <w:tcW w:w="886" w:type="pct"/>
            <w:tcBorders>
              <w:top w:val="single" w:color="000000" w:sz="1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b/>
                <w:kern w:val="0"/>
                <w:sz w:val="21"/>
                <w:szCs w:val="21"/>
                <w:lang w:eastAsia="en-US"/>
              </w:rPr>
            </w:pPr>
            <w:r>
              <w:rPr>
                <w:rFonts w:hint="eastAsia" w:ascii="仿宋" w:hAnsi="仿宋" w:eastAsia="仿宋" w:cs="仿宋"/>
                <w:b/>
                <w:kern w:val="0"/>
                <w:sz w:val="21"/>
                <w:szCs w:val="21"/>
                <w:lang w:eastAsia="en-US"/>
              </w:rPr>
              <w:t>规模</w:t>
            </w:r>
          </w:p>
        </w:tc>
        <w:tc>
          <w:tcPr>
            <w:tcW w:w="501" w:type="pct"/>
            <w:tcBorders>
              <w:top w:val="single" w:color="000000" w:sz="1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b/>
                <w:kern w:val="0"/>
                <w:sz w:val="21"/>
                <w:szCs w:val="21"/>
                <w:lang w:eastAsia="en-US"/>
              </w:rPr>
            </w:pPr>
            <w:r>
              <w:rPr>
                <w:rFonts w:hint="eastAsia" w:ascii="仿宋" w:hAnsi="仿宋" w:eastAsia="仿宋" w:cs="仿宋"/>
                <w:b/>
                <w:kern w:val="0"/>
                <w:sz w:val="21"/>
                <w:szCs w:val="21"/>
                <w:lang w:eastAsia="en-US"/>
              </w:rPr>
              <w:t>功能</w:t>
            </w:r>
          </w:p>
        </w:tc>
        <w:tc>
          <w:tcPr>
            <w:tcW w:w="558" w:type="pct"/>
            <w:tcBorders>
              <w:top w:val="single" w:color="000000" w:sz="1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b/>
                <w:kern w:val="0"/>
                <w:sz w:val="21"/>
                <w:szCs w:val="21"/>
                <w:lang w:eastAsia="en-US"/>
              </w:rPr>
            </w:pPr>
            <w:r>
              <w:rPr>
                <w:rFonts w:hint="eastAsia" w:ascii="仿宋" w:hAnsi="仿宋" w:eastAsia="仿宋" w:cs="仿宋"/>
                <w:b/>
                <w:kern w:val="0"/>
                <w:sz w:val="21"/>
                <w:szCs w:val="21"/>
                <w:lang w:eastAsia="en-US"/>
              </w:rPr>
              <w:t>联系电话</w:t>
            </w:r>
          </w:p>
        </w:tc>
      </w:tr>
      <w:tr>
        <w:tblPrEx>
          <w:tblCellMar>
            <w:top w:w="0" w:type="dxa"/>
            <w:left w:w="0" w:type="dxa"/>
            <w:bottom w:w="0" w:type="dxa"/>
            <w:right w:w="0" w:type="dxa"/>
          </w:tblCellMar>
        </w:tblPrEx>
        <w:trPr>
          <w:trHeight w:val="407" w:hRule="exact"/>
          <w:jc w:val="center"/>
        </w:trPr>
        <w:tc>
          <w:tcPr>
            <w:tcW w:w="356" w:type="pct"/>
            <w:vMerge w:val="restart"/>
            <w:tcBorders>
              <w:top w:val="single" w:color="000000" w:sz="2" w:space="0"/>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大气</w:t>
            </w: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0"/>
                <w:kern w:val="0"/>
                <w:sz w:val="21"/>
                <w:szCs w:val="21"/>
                <w:lang w:eastAsia="en-US"/>
              </w:rPr>
              <w:t>1</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zh-CN"/>
              </w:rPr>
            </w:pPr>
            <w:r>
              <w:rPr>
                <w:rFonts w:hint="eastAsia" w:ascii="仿宋" w:hAnsi="仿宋" w:eastAsia="仿宋" w:cs="仿宋"/>
                <w:kern w:val="0"/>
                <w:sz w:val="21"/>
                <w:szCs w:val="21"/>
                <w:lang w:eastAsia="zh-CN"/>
              </w:rPr>
              <w:t>东海粮油工业有限公司</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SW</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2500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粮油加工</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58388585</w:t>
            </w:r>
          </w:p>
        </w:tc>
      </w:tr>
      <w:tr>
        <w:tblPrEx>
          <w:tblCellMar>
            <w:top w:w="0" w:type="dxa"/>
            <w:left w:w="0" w:type="dxa"/>
            <w:bottom w:w="0" w:type="dxa"/>
            <w:right w:w="0" w:type="dxa"/>
          </w:tblCellMar>
        </w:tblPrEx>
        <w:trPr>
          <w:trHeight w:val="426"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0"/>
                <w:kern w:val="0"/>
                <w:sz w:val="21"/>
                <w:szCs w:val="21"/>
                <w:lang w:eastAsia="en-US"/>
              </w:rPr>
              <w:t>2</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北荫村</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N</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1500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100</w:t>
            </w:r>
            <w:r>
              <w:rPr>
                <w:rFonts w:hint="eastAsia" w:ascii="仿宋" w:hAnsi="仿宋" w:eastAsia="仿宋" w:cs="仿宋"/>
                <w:spacing w:val="-39"/>
                <w:kern w:val="0"/>
                <w:sz w:val="21"/>
                <w:szCs w:val="21"/>
                <w:lang w:eastAsia="en-US"/>
              </w:rPr>
              <w:t xml:space="preserve"> </w:t>
            </w:r>
            <w:r>
              <w:rPr>
                <w:rFonts w:hint="eastAsia" w:ascii="仿宋" w:hAnsi="仿宋" w:eastAsia="仿宋" w:cs="仿宋"/>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58723728</w:t>
            </w:r>
          </w:p>
        </w:tc>
      </w:tr>
      <w:tr>
        <w:tblPrEx>
          <w:tblCellMar>
            <w:top w:w="0" w:type="dxa"/>
            <w:left w:w="0" w:type="dxa"/>
            <w:bottom w:w="0" w:type="dxa"/>
            <w:right w:w="0" w:type="dxa"/>
          </w:tblCellMar>
        </w:tblPrEx>
        <w:trPr>
          <w:trHeight w:val="418"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0"/>
                <w:kern w:val="0"/>
                <w:sz w:val="21"/>
                <w:szCs w:val="21"/>
                <w:lang w:eastAsia="en-US"/>
              </w:rPr>
              <w:t>3</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双丰村</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1400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140</w:t>
            </w:r>
            <w:r>
              <w:rPr>
                <w:rFonts w:hint="eastAsia" w:ascii="仿宋" w:hAnsi="仿宋" w:eastAsia="仿宋" w:cs="仿宋"/>
                <w:spacing w:val="-39"/>
                <w:kern w:val="0"/>
                <w:sz w:val="21"/>
                <w:szCs w:val="21"/>
                <w:lang w:eastAsia="en-US"/>
              </w:rPr>
              <w:t xml:space="preserve"> </w:t>
            </w:r>
            <w:r>
              <w:rPr>
                <w:rFonts w:hint="eastAsia" w:ascii="仿宋" w:hAnsi="仿宋" w:eastAsia="仿宋" w:cs="仿宋"/>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58751017</w:t>
            </w:r>
          </w:p>
        </w:tc>
      </w:tr>
      <w:tr>
        <w:tblPrEx>
          <w:tblCellMar>
            <w:top w:w="0" w:type="dxa"/>
            <w:left w:w="0" w:type="dxa"/>
            <w:bottom w:w="0" w:type="dxa"/>
            <w:right w:w="0" w:type="dxa"/>
          </w:tblCellMar>
        </w:tblPrEx>
        <w:trPr>
          <w:trHeight w:val="423"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4</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永兴村</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2050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500</w:t>
            </w:r>
            <w:r>
              <w:rPr>
                <w:rFonts w:hint="eastAsia" w:ascii="仿宋" w:hAnsi="仿宋" w:eastAsia="仿宋" w:cs="仿宋"/>
                <w:spacing w:val="-39"/>
                <w:kern w:val="0"/>
                <w:sz w:val="21"/>
                <w:szCs w:val="21"/>
                <w:lang w:eastAsia="en-US"/>
              </w:rPr>
              <w:t xml:space="preserve"> </w:t>
            </w:r>
            <w:r>
              <w:rPr>
                <w:rFonts w:hint="eastAsia" w:ascii="仿宋" w:hAnsi="仿宋" w:eastAsia="仿宋" w:cs="仿宋"/>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58750451</w:t>
            </w:r>
          </w:p>
        </w:tc>
      </w:tr>
      <w:tr>
        <w:tblPrEx>
          <w:tblCellMar>
            <w:top w:w="0" w:type="dxa"/>
            <w:left w:w="0" w:type="dxa"/>
            <w:bottom w:w="0" w:type="dxa"/>
            <w:right w:w="0" w:type="dxa"/>
          </w:tblCellMar>
        </w:tblPrEx>
        <w:trPr>
          <w:trHeight w:val="430"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0"/>
                <w:kern w:val="0"/>
                <w:sz w:val="21"/>
                <w:szCs w:val="21"/>
                <w:lang w:eastAsia="en-US"/>
              </w:rPr>
              <w:t>5</w:t>
            </w:r>
          </w:p>
        </w:tc>
        <w:tc>
          <w:tcPr>
            <w:tcW w:w="319" w:type="pct"/>
            <w:vMerge w:val="restart"/>
            <w:tcBorders>
              <w:top w:val="single" w:color="000000" w:sz="2" w:space="0"/>
              <w:left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德 积 街 道</w:t>
            </w: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小明沙村</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3200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500</w:t>
            </w:r>
            <w:r>
              <w:rPr>
                <w:rFonts w:hint="eastAsia" w:ascii="仿宋" w:hAnsi="仿宋" w:eastAsia="仿宋" w:cs="仿宋"/>
                <w:spacing w:val="-39"/>
                <w:kern w:val="0"/>
                <w:sz w:val="21"/>
                <w:szCs w:val="21"/>
                <w:lang w:eastAsia="en-US"/>
              </w:rPr>
              <w:t xml:space="preserve"> </w:t>
            </w:r>
            <w:r>
              <w:rPr>
                <w:rFonts w:hint="eastAsia" w:ascii="仿宋" w:hAnsi="仿宋" w:eastAsia="仿宋" w:cs="仿宋"/>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58727699</w:t>
            </w:r>
          </w:p>
        </w:tc>
      </w:tr>
      <w:tr>
        <w:tblPrEx>
          <w:tblCellMar>
            <w:top w:w="0" w:type="dxa"/>
            <w:left w:w="0" w:type="dxa"/>
            <w:bottom w:w="0" w:type="dxa"/>
            <w:right w:w="0" w:type="dxa"/>
          </w:tblCellMar>
        </w:tblPrEx>
        <w:trPr>
          <w:trHeight w:val="422"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0"/>
                <w:kern w:val="0"/>
                <w:sz w:val="21"/>
                <w:szCs w:val="21"/>
                <w:lang w:eastAsia="en-US"/>
              </w:rPr>
              <w:t>6</w:t>
            </w:r>
          </w:p>
        </w:tc>
        <w:tc>
          <w:tcPr>
            <w:tcW w:w="319" w:type="pct"/>
            <w:vMerge w:val="continue"/>
            <w:tcBorders>
              <w:left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学前社区</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1700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2000</w:t>
            </w:r>
            <w:r>
              <w:rPr>
                <w:rFonts w:hint="eastAsia" w:ascii="仿宋" w:hAnsi="仿宋" w:eastAsia="仿宋" w:cs="仿宋"/>
                <w:spacing w:val="-15"/>
                <w:w w:val="95"/>
                <w:kern w:val="0"/>
                <w:sz w:val="21"/>
                <w:szCs w:val="21"/>
                <w:lang w:eastAsia="en-US"/>
              </w:rPr>
              <w:t xml:space="preserve"> </w:t>
            </w:r>
            <w:r>
              <w:rPr>
                <w:rFonts w:hint="eastAsia" w:ascii="仿宋" w:hAnsi="仿宋" w:eastAsia="仿宋" w:cs="仿宋"/>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58721223</w:t>
            </w:r>
          </w:p>
        </w:tc>
      </w:tr>
      <w:tr>
        <w:tblPrEx>
          <w:tblCellMar>
            <w:top w:w="0" w:type="dxa"/>
            <w:left w:w="0" w:type="dxa"/>
            <w:bottom w:w="0" w:type="dxa"/>
            <w:right w:w="0" w:type="dxa"/>
          </w:tblCellMar>
        </w:tblPrEx>
        <w:trPr>
          <w:trHeight w:val="414"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0"/>
                <w:kern w:val="0"/>
                <w:sz w:val="21"/>
                <w:szCs w:val="21"/>
                <w:lang w:eastAsia="en-US"/>
              </w:rPr>
              <w:t>7</w:t>
            </w:r>
          </w:p>
        </w:tc>
        <w:tc>
          <w:tcPr>
            <w:tcW w:w="319" w:type="pct"/>
            <w:vMerge w:val="continue"/>
            <w:tcBorders>
              <w:left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德丰社区</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2600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4350</w:t>
            </w:r>
            <w:r>
              <w:rPr>
                <w:rFonts w:hint="eastAsia" w:ascii="仿宋" w:hAnsi="仿宋" w:eastAsia="仿宋" w:cs="仿宋"/>
                <w:spacing w:val="-15"/>
                <w:w w:val="95"/>
                <w:kern w:val="0"/>
                <w:sz w:val="21"/>
                <w:szCs w:val="21"/>
                <w:lang w:eastAsia="en-US"/>
              </w:rPr>
              <w:t xml:space="preserve"> </w:t>
            </w:r>
            <w:r>
              <w:rPr>
                <w:rFonts w:hint="eastAsia" w:ascii="仿宋" w:hAnsi="仿宋" w:eastAsia="仿宋" w:cs="仿宋"/>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56932028</w:t>
            </w:r>
          </w:p>
        </w:tc>
      </w:tr>
      <w:tr>
        <w:tblPrEx>
          <w:tblCellMar>
            <w:top w:w="0" w:type="dxa"/>
            <w:left w:w="0" w:type="dxa"/>
            <w:bottom w:w="0" w:type="dxa"/>
            <w:right w:w="0" w:type="dxa"/>
          </w:tblCellMar>
        </w:tblPrEx>
        <w:trPr>
          <w:trHeight w:val="433"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0"/>
                <w:kern w:val="0"/>
                <w:sz w:val="21"/>
                <w:szCs w:val="21"/>
                <w:lang w:eastAsia="en-US"/>
              </w:rPr>
              <w:t>8</w:t>
            </w:r>
          </w:p>
        </w:tc>
        <w:tc>
          <w:tcPr>
            <w:tcW w:w="319" w:type="pct"/>
            <w:vMerge w:val="continue"/>
            <w:tcBorders>
              <w:left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元丰社区</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2000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4500</w:t>
            </w:r>
            <w:r>
              <w:rPr>
                <w:rFonts w:hint="eastAsia" w:ascii="仿宋" w:hAnsi="仿宋" w:eastAsia="仿宋" w:cs="仿宋"/>
                <w:spacing w:val="-15"/>
                <w:w w:val="95"/>
                <w:kern w:val="0"/>
                <w:sz w:val="21"/>
                <w:szCs w:val="21"/>
                <w:lang w:eastAsia="en-US"/>
              </w:rPr>
              <w:t xml:space="preserve"> </w:t>
            </w:r>
            <w:r>
              <w:rPr>
                <w:rFonts w:hint="eastAsia" w:ascii="仿宋" w:hAnsi="仿宋" w:eastAsia="仿宋" w:cs="仿宋"/>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56907192</w:t>
            </w:r>
          </w:p>
        </w:tc>
      </w:tr>
      <w:tr>
        <w:tblPrEx>
          <w:tblCellMar>
            <w:top w:w="0" w:type="dxa"/>
            <w:left w:w="0" w:type="dxa"/>
            <w:bottom w:w="0" w:type="dxa"/>
            <w:right w:w="0" w:type="dxa"/>
          </w:tblCellMar>
        </w:tblPrEx>
        <w:trPr>
          <w:trHeight w:val="426"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0"/>
                <w:kern w:val="0"/>
                <w:sz w:val="21"/>
                <w:szCs w:val="21"/>
                <w:lang w:eastAsia="en-US"/>
              </w:rPr>
              <w:t>9</w:t>
            </w:r>
          </w:p>
        </w:tc>
        <w:tc>
          <w:tcPr>
            <w:tcW w:w="319" w:type="pct"/>
            <w:vMerge w:val="continue"/>
            <w:tcBorders>
              <w:left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德积中心小学</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1400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1292</w:t>
            </w:r>
            <w:r>
              <w:rPr>
                <w:rFonts w:hint="eastAsia" w:ascii="仿宋" w:hAnsi="仿宋" w:eastAsia="仿宋" w:cs="仿宋"/>
                <w:spacing w:val="-15"/>
                <w:w w:val="95"/>
                <w:kern w:val="0"/>
                <w:sz w:val="21"/>
                <w:szCs w:val="21"/>
                <w:lang w:eastAsia="en-US"/>
              </w:rPr>
              <w:t xml:space="preserve"> </w:t>
            </w:r>
            <w:r>
              <w:rPr>
                <w:rFonts w:hint="eastAsia" w:ascii="仿宋" w:hAnsi="仿宋" w:eastAsia="仿宋" w:cs="仿宋"/>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学校</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58750415</w:t>
            </w:r>
          </w:p>
        </w:tc>
      </w:tr>
      <w:tr>
        <w:tblPrEx>
          <w:tblCellMar>
            <w:top w:w="0" w:type="dxa"/>
            <w:left w:w="0" w:type="dxa"/>
            <w:bottom w:w="0" w:type="dxa"/>
            <w:right w:w="0" w:type="dxa"/>
          </w:tblCellMar>
        </w:tblPrEx>
        <w:trPr>
          <w:trHeight w:val="418"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10</w:t>
            </w:r>
          </w:p>
        </w:tc>
        <w:tc>
          <w:tcPr>
            <w:tcW w:w="319" w:type="pct"/>
            <w:vMerge w:val="continue"/>
            <w:tcBorders>
              <w:left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护漕港中学</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1200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1000</w:t>
            </w:r>
            <w:r>
              <w:rPr>
                <w:rFonts w:hint="eastAsia" w:ascii="仿宋" w:hAnsi="仿宋" w:eastAsia="仿宋" w:cs="仿宋"/>
                <w:spacing w:val="-15"/>
                <w:w w:val="95"/>
                <w:kern w:val="0"/>
                <w:sz w:val="21"/>
                <w:szCs w:val="21"/>
                <w:lang w:eastAsia="en-US"/>
              </w:rPr>
              <w:t xml:space="preserve"> </w:t>
            </w:r>
            <w:r>
              <w:rPr>
                <w:rFonts w:hint="eastAsia" w:ascii="仿宋" w:hAnsi="仿宋" w:eastAsia="仿宋" w:cs="仿宋"/>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学校</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58750466</w:t>
            </w:r>
          </w:p>
        </w:tc>
      </w:tr>
      <w:tr>
        <w:tblPrEx>
          <w:tblCellMar>
            <w:top w:w="0" w:type="dxa"/>
            <w:left w:w="0" w:type="dxa"/>
            <w:bottom w:w="0" w:type="dxa"/>
            <w:right w:w="0" w:type="dxa"/>
          </w:tblCellMar>
        </w:tblPrEx>
        <w:trPr>
          <w:trHeight w:val="424"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11</w:t>
            </w:r>
          </w:p>
        </w:tc>
        <w:tc>
          <w:tcPr>
            <w:tcW w:w="319" w:type="pct"/>
            <w:vMerge w:val="continue"/>
            <w:tcBorders>
              <w:left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939"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沙洲医院</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2100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50</w:t>
            </w:r>
            <w:r>
              <w:rPr>
                <w:rFonts w:hint="eastAsia" w:ascii="仿宋" w:hAnsi="仿宋" w:eastAsia="仿宋" w:cs="仿宋"/>
                <w:spacing w:val="-28"/>
                <w:kern w:val="0"/>
                <w:sz w:val="21"/>
                <w:szCs w:val="21"/>
                <w:lang w:eastAsia="en-US"/>
              </w:rPr>
              <w:t xml:space="preserve"> </w:t>
            </w:r>
            <w:r>
              <w:rPr>
                <w:rFonts w:hint="eastAsia" w:ascii="仿宋" w:hAnsi="仿宋" w:eastAsia="仿宋" w:cs="仿宋"/>
                <w:kern w:val="0"/>
                <w:sz w:val="21"/>
                <w:szCs w:val="21"/>
                <w:lang w:eastAsia="en-US"/>
              </w:rPr>
              <w:t>个病床</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医院</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58758930</w:t>
            </w:r>
          </w:p>
        </w:tc>
      </w:tr>
      <w:tr>
        <w:tblPrEx>
          <w:tblCellMar>
            <w:top w:w="0" w:type="dxa"/>
            <w:left w:w="0" w:type="dxa"/>
            <w:bottom w:w="0" w:type="dxa"/>
            <w:right w:w="0" w:type="dxa"/>
          </w:tblCellMar>
        </w:tblPrEx>
        <w:trPr>
          <w:trHeight w:val="429"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12</w:t>
            </w:r>
          </w:p>
        </w:tc>
        <w:tc>
          <w:tcPr>
            <w:tcW w:w="319" w:type="pct"/>
            <w:vMerge w:val="continue"/>
            <w:tcBorders>
              <w:left w:val="single" w:color="000000" w:sz="2" w:space="0"/>
              <w:bottom w:val="single" w:color="000000" w:sz="4"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939" w:type="pct"/>
            <w:tcBorders>
              <w:top w:val="single" w:color="000000" w:sz="2" w:space="0"/>
              <w:left w:val="single" w:color="000000" w:sz="2" w:space="0"/>
              <w:bottom w:val="single" w:color="000000" w:sz="4"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福民社区</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1900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1410</w:t>
            </w:r>
            <w:r>
              <w:rPr>
                <w:rFonts w:hint="eastAsia" w:ascii="仿宋" w:hAnsi="仿宋" w:eastAsia="仿宋" w:cs="仿宋"/>
                <w:spacing w:val="-15"/>
                <w:w w:val="95"/>
                <w:kern w:val="0"/>
                <w:sz w:val="21"/>
                <w:szCs w:val="21"/>
                <w:lang w:eastAsia="en-US"/>
              </w:rPr>
              <w:t xml:space="preserve"> </w:t>
            </w:r>
            <w:r>
              <w:rPr>
                <w:rFonts w:hint="eastAsia" w:ascii="仿宋" w:hAnsi="仿宋" w:eastAsia="仿宋" w:cs="仿宋"/>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58723870</w:t>
            </w:r>
          </w:p>
        </w:tc>
      </w:tr>
      <w:tr>
        <w:tblPrEx>
          <w:tblCellMar>
            <w:top w:w="0" w:type="dxa"/>
            <w:left w:w="0" w:type="dxa"/>
            <w:bottom w:w="0" w:type="dxa"/>
            <w:right w:w="0" w:type="dxa"/>
          </w:tblCellMar>
        </w:tblPrEx>
        <w:trPr>
          <w:trHeight w:val="441"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13</w:t>
            </w:r>
          </w:p>
        </w:tc>
        <w:tc>
          <w:tcPr>
            <w:tcW w:w="1258" w:type="pct"/>
            <w:gridSpan w:val="2"/>
            <w:tcBorders>
              <w:top w:val="single" w:color="000000" w:sz="4"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新套村</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1"/>
                <w:kern w:val="0"/>
                <w:sz w:val="21"/>
                <w:szCs w:val="21"/>
                <w:lang w:eastAsia="en-US"/>
              </w:rPr>
              <w:t>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3800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1662</w:t>
            </w:r>
            <w:r>
              <w:rPr>
                <w:rFonts w:hint="eastAsia" w:ascii="仿宋" w:hAnsi="仿宋" w:eastAsia="仿宋" w:cs="仿宋"/>
                <w:spacing w:val="-15"/>
                <w:w w:val="95"/>
                <w:kern w:val="0"/>
                <w:sz w:val="21"/>
                <w:szCs w:val="21"/>
                <w:lang w:eastAsia="en-US"/>
              </w:rPr>
              <w:t xml:space="preserve"> </w:t>
            </w:r>
            <w:r>
              <w:rPr>
                <w:rFonts w:hint="eastAsia" w:ascii="仿宋" w:hAnsi="仿宋" w:eastAsia="仿宋" w:cs="仿宋"/>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58750374</w:t>
            </w:r>
          </w:p>
        </w:tc>
      </w:tr>
      <w:tr>
        <w:tblPrEx>
          <w:tblCellMar>
            <w:top w:w="0" w:type="dxa"/>
            <w:left w:w="0" w:type="dxa"/>
            <w:bottom w:w="0" w:type="dxa"/>
            <w:right w:w="0" w:type="dxa"/>
          </w:tblCellMar>
        </w:tblPrEx>
        <w:trPr>
          <w:trHeight w:val="414"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14</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德积村</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ESE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1700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2900</w:t>
            </w:r>
            <w:r>
              <w:rPr>
                <w:rFonts w:hint="eastAsia" w:ascii="仿宋" w:hAnsi="仿宋" w:eastAsia="仿宋" w:cs="仿宋"/>
                <w:spacing w:val="-15"/>
                <w:w w:val="95"/>
                <w:kern w:val="0"/>
                <w:sz w:val="21"/>
                <w:szCs w:val="21"/>
                <w:lang w:eastAsia="en-US"/>
              </w:rPr>
              <w:t xml:space="preserve"> </w:t>
            </w:r>
            <w:r>
              <w:rPr>
                <w:rFonts w:hint="eastAsia" w:ascii="仿宋" w:hAnsi="仿宋" w:eastAsia="仿宋" w:cs="仿宋"/>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村庄</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58750035</w:t>
            </w:r>
          </w:p>
        </w:tc>
      </w:tr>
      <w:tr>
        <w:tblPrEx>
          <w:tblCellMar>
            <w:top w:w="0" w:type="dxa"/>
            <w:left w:w="0" w:type="dxa"/>
            <w:bottom w:w="0" w:type="dxa"/>
            <w:right w:w="0" w:type="dxa"/>
          </w:tblCellMar>
        </w:tblPrEx>
        <w:trPr>
          <w:trHeight w:val="717"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15</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金港镇</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SW</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5000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zh-CN"/>
              </w:rPr>
            </w:pPr>
            <w:r>
              <w:rPr>
                <w:rFonts w:hint="eastAsia" w:ascii="仿宋" w:hAnsi="仿宋" w:eastAsia="仿宋" w:cs="仿宋"/>
                <w:kern w:val="0"/>
                <w:sz w:val="21"/>
                <w:szCs w:val="21"/>
                <w:lang w:eastAsia="zh-CN"/>
              </w:rPr>
              <w:t>总</w:t>
            </w:r>
            <w:r>
              <w:rPr>
                <w:rFonts w:hint="eastAsia" w:ascii="仿宋" w:hAnsi="仿宋" w:eastAsia="仿宋" w:cs="仿宋"/>
                <w:spacing w:val="-82"/>
                <w:kern w:val="0"/>
                <w:sz w:val="21"/>
                <w:szCs w:val="21"/>
                <w:lang w:eastAsia="zh-CN"/>
              </w:rPr>
              <w:t xml:space="preserve"> </w:t>
            </w:r>
            <w:r>
              <w:rPr>
                <w:rFonts w:hint="eastAsia" w:ascii="仿宋" w:hAnsi="仿宋" w:eastAsia="仿宋" w:cs="仿宋"/>
                <w:kern w:val="0"/>
                <w:sz w:val="21"/>
                <w:szCs w:val="21"/>
                <w:lang w:eastAsia="zh-CN"/>
              </w:rPr>
              <w:t>30000</w:t>
            </w:r>
            <w:r>
              <w:rPr>
                <w:rFonts w:hint="eastAsia" w:ascii="仿宋" w:hAnsi="仿宋" w:eastAsia="仿宋" w:cs="仿宋"/>
                <w:spacing w:val="-35"/>
                <w:kern w:val="0"/>
                <w:sz w:val="21"/>
                <w:szCs w:val="21"/>
                <w:lang w:eastAsia="zh-CN"/>
              </w:rPr>
              <w:t xml:space="preserve"> </w:t>
            </w:r>
            <w:r>
              <w:rPr>
                <w:rFonts w:hint="eastAsia" w:ascii="仿宋" w:hAnsi="仿宋" w:eastAsia="仿宋" w:cs="仿宋"/>
                <w:kern w:val="0"/>
                <w:sz w:val="21"/>
                <w:szCs w:val="21"/>
                <w:lang w:eastAsia="zh-CN"/>
              </w:rPr>
              <w:t>人（5km</w:t>
            </w:r>
            <w:r>
              <w:rPr>
                <w:rFonts w:hint="eastAsia" w:ascii="仿宋" w:hAnsi="仿宋" w:eastAsia="仿宋" w:cs="仿宋"/>
                <w:spacing w:val="-25"/>
                <w:kern w:val="0"/>
                <w:sz w:val="21"/>
                <w:szCs w:val="21"/>
                <w:lang w:eastAsia="zh-CN"/>
              </w:rPr>
              <w:t xml:space="preserve"> </w:t>
            </w:r>
            <w:r>
              <w:rPr>
                <w:rFonts w:hint="eastAsia" w:ascii="仿宋" w:hAnsi="仿宋" w:eastAsia="仿宋" w:cs="仿宋"/>
                <w:kern w:val="0"/>
                <w:sz w:val="21"/>
                <w:szCs w:val="21"/>
                <w:lang w:eastAsia="zh-CN"/>
              </w:rPr>
              <w:t>范围内约</w:t>
            </w:r>
            <w:r>
              <w:rPr>
                <w:rFonts w:hint="eastAsia" w:ascii="仿宋" w:hAnsi="仿宋" w:eastAsia="仿宋" w:cs="仿宋"/>
                <w:spacing w:val="-92"/>
                <w:kern w:val="0"/>
                <w:sz w:val="21"/>
                <w:szCs w:val="21"/>
                <w:lang w:eastAsia="zh-CN"/>
              </w:rPr>
              <w:t xml:space="preserve"> </w:t>
            </w:r>
            <w:r>
              <w:rPr>
                <w:rFonts w:hint="eastAsia" w:ascii="仿宋" w:hAnsi="仿宋" w:eastAsia="仿宋" w:cs="仿宋"/>
                <w:kern w:val="0"/>
                <w:sz w:val="21"/>
                <w:szCs w:val="21"/>
                <w:lang w:eastAsia="zh-CN"/>
              </w:rPr>
              <w:t>1000</w:t>
            </w:r>
            <w:r>
              <w:rPr>
                <w:rFonts w:hint="eastAsia" w:ascii="仿宋" w:hAnsi="仿宋" w:eastAsia="仿宋" w:cs="仿宋"/>
                <w:spacing w:val="-45"/>
                <w:kern w:val="0"/>
                <w:sz w:val="21"/>
                <w:szCs w:val="21"/>
                <w:lang w:eastAsia="zh-CN"/>
              </w:rPr>
              <w:t xml:space="preserve"> </w:t>
            </w:r>
            <w:r>
              <w:rPr>
                <w:rFonts w:hint="eastAsia" w:ascii="仿宋" w:hAnsi="仿宋" w:eastAsia="仿宋" w:cs="仿宋"/>
                <w:kern w:val="0"/>
                <w:sz w:val="21"/>
                <w:szCs w:val="21"/>
                <w:lang w:eastAsia="zh-CN"/>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（居民）</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58699065</w:t>
            </w:r>
          </w:p>
        </w:tc>
      </w:tr>
      <w:tr>
        <w:tblPrEx>
          <w:tblCellMar>
            <w:top w:w="0" w:type="dxa"/>
            <w:left w:w="0" w:type="dxa"/>
            <w:bottom w:w="0" w:type="dxa"/>
            <w:right w:w="0" w:type="dxa"/>
          </w:tblCellMar>
        </w:tblPrEx>
        <w:trPr>
          <w:trHeight w:val="416" w:hRule="exact"/>
          <w:jc w:val="center"/>
        </w:trPr>
        <w:tc>
          <w:tcPr>
            <w:tcW w:w="356" w:type="pct"/>
            <w:vMerge w:val="continue"/>
            <w:tcBorders>
              <w:left w:val="single" w:color="000000" w:sz="1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16</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双山岛</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W</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1000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1000</w:t>
            </w:r>
            <w:r>
              <w:rPr>
                <w:rFonts w:hint="eastAsia" w:ascii="仿宋" w:hAnsi="仿宋" w:eastAsia="仿宋" w:cs="仿宋"/>
                <w:spacing w:val="-15"/>
                <w:w w:val="95"/>
                <w:kern w:val="0"/>
                <w:sz w:val="21"/>
                <w:szCs w:val="21"/>
                <w:lang w:eastAsia="en-US"/>
              </w:rPr>
              <w:t xml:space="preserve"> </w:t>
            </w:r>
            <w:r>
              <w:rPr>
                <w:rFonts w:hint="eastAsia" w:ascii="仿宋" w:hAnsi="仿宋" w:eastAsia="仿宋" w:cs="仿宋"/>
                <w:w w:val="95"/>
                <w:kern w:val="0"/>
                <w:sz w:val="21"/>
                <w:szCs w:val="21"/>
                <w:lang w:eastAsia="en-US"/>
              </w:rPr>
              <w:t>人</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居民</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5"/>
                <w:kern w:val="0"/>
                <w:sz w:val="21"/>
                <w:szCs w:val="21"/>
                <w:lang w:eastAsia="en-US"/>
              </w:rPr>
              <w:t>58302855</w:t>
            </w:r>
          </w:p>
        </w:tc>
      </w:tr>
      <w:tr>
        <w:tblPrEx>
          <w:tblCellMar>
            <w:top w:w="0" w:type="dxa"/>
            <w:left w:w="0" w:type="dxa"/>
            <w:bottom w:w="0" w:type="dxa"/>
            <w:right w:w="0" w:type="dxa"/>
          </w:tblCellMar>
        </w:tblPrEx>
        <w:trPr>
          <w:trHeight w:val="686" w:hRule="exact"/>
          <w:jc w:val="center"/>
        </w:trPr>
        <w:tc>
          <w:tcPr>
            <w:tcW w:w="356" w:type="pct"/>
            <w:vMerge w:val="restart"/>
            <w:tcBorders>
              <w:top w:val="single" w:color="000000" w:sz="2" w:space="0"/>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地表</w:t>
            </w:r>
            <w:r>
              <w:rPr>
                <w:rFonts w:hint="eastAsia" w:ascii="仿宋" w:hAnsi="仿宋" w:eastAsia="仿宋" w:cs="仿宋"/>
                <w:spacing w:val="-103"/>
                <w:kern w:val="0"/>
                <w:sz w:val="21"/>
                <w:szCs w:val="21"/>
                <w:lang w:eastAsia="en-US"/>
              </w:rPr>
              <w:t xml:space="preserve"> </w:t>
            </w:r>
            <w:r>
              <w:rPr>
                <w:rFonts w:hint="eastAsia" w:ascii="仿宋" w:hAnsi="仿宋" w:eastAsia="仿宋" w:cs="仿宋"/>
                <w:kern w:val="0"/>
                <w:sz w:val="21"/>
                <w:szCs w:val="21"/>
                <w:lang w:eastAsia="en-US"/>
              </w:rPr>
              <w:t>水</w:t>
            </w: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0"/>
                <w:kern w:val="0"/>
                <w:sz w:val="21"/>
                <w:szCs w:val="21"/>
                <w:lang w:eastAsia="en-US"/>
              </w:rPr>
              <w:t>1</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东海粮油取水口</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SW</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污水处理厂排口</w:t>
            </w:r>
            <w:r>
              <w:rPr>
                <w:rFonts w:hint="eastAsia" w:ascii="仿宋" w:hAnsi="仿宋" w:eastAsia="仿宋" w:cs="仿宋"/>
                <w:spacing w:val="-103"/>
                <w:kern w:val="0"/>
                <w:sz w:val="21"/>
                <w:szCs w:val="21"/>
                <w:lang w:eastAsia="en-US"/>
              </w:rPr>
              <w:t xml:space="preserve"> </w:t>
            </w:r>
            <w:r>
              <w:rPr>
                <w:rFonts w:hint="eastAsia" w:ascii="仿宋" w:hAnsi="仿宋" w:eastAsia="仿宋" w:cs="仿宋"/>
                <w:w w:val="95"/>
                <w:kern w:val="0"/>
                <w:sz w:val="21"/>
                <w:szCs w:val="21"/>
                <w:lang w:eastAsia="en-US"/>
              </w:rPr>
              <w:t>上游</w:t>
            </w:r>
            <w:r>
              <w:rPr>
                <w:rFonts w:hint="eastAsia" w:ascii="仿宋" w:hAnsi="仿宋" w:eastAsia="仿宋" w:cs="仿宋"/>
                <w:spacing w:val="-49"/>
                <w:w w:val="95"/>
                <w:kern w:val="0"/>
                <w:sz w:val="21"/>
                <w:szCs w:val="21"/>
                <w:lang w:eastAsia="en-US"/>
              </w:rPr>
              <w:t xml:space="preserve"> </w:t>
            </w:r>
            <w:r>
              <w:rPr>
                <w:rFonts w:hint="eastAsia" w:ascii="仿宋" w:hAnsi="仿宋" w:eastAsia="仿宋" w:cs="仿宋"/>
                <w:w w:val="95"/>
                <w:kern w:val="0"/>
                <w:sz w:val="21"/>
                <w:szCs w:val="21"/>
                <w:lang w:eastAsia="en-US"/>
              </w:rPr>
              <w:t>1800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3000t/d</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自备水厂</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w:t>
            </w:r>
          </w:p>
        </w:tc>
      </w:tr>
      <w:tr>
        <w:tblPrEx>
          <w:tblCellMar>
            <w:top w:w="0" w:type="dxa"/>
            <w:left w:w="0" w:type="dxa"/>
            <w:bottom w:w="0" w:type="dxa"/>
            <w:right w:w="0" w:type="dxa"/>
          </w:tblCellMar>
        </w:tblPrEx>
        <w:trPr>
          <w:trHeight w:val="992"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0"/>
                <w:kern w:val="0"/>
                <w:sz w:val="21"/>
                <w:szCs w:val="21"/>
                <w:lang w:eastAsia="en-US"/>
              </w:rPr>
              <w:t>2</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热电厂取水口</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SW</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污水处理厂排口</w:t>
            </w:r>
            <w:r>
              <w:rPr>
                <w:rFonts w:hint="eastAsia" w:ascii="仿宋" w:hAnsi="仿宋" w:eastAsia="仿宋" w:cs="仿宋"/>
                <w:spacing w:val="-103"/>
                <w:kern w:val="0"/>
                <w:sz w:val="21"/>
                <w:szCs w:val="21"/>
                <w:lang w:eastAsia="en-US"/>
              </w:rPr>
              <w:t xml:space="preserve"> </w:t>
            </w:r>
            <w:r>
              <w:rPr>
                <w:rFonts w:hint="eastAsia" w:ascii="仿宋" w:hAnsi="仿宋" w:eastAsia="仿宋" w:cs="仿宋"/>
                <w:w w:val="95"/>
                <w:kern w:val="0"/>
                <w:sz w:val="21"/>
                <w:szCs w:val="21"/>
                <w:lang w:eastAsia="en-US"/>
              </w:rPr>
              <w:t>上游</w:t>
            </w:r>
            <w:r>
              <w:rPr>
                <w:rFonts w:hint="eastAsia" w:ascii="仿宋" w:hAnsi="仿宋" w:eastAsia="仿宋" w:cs="仿宋"/>
                <w:spacing w:val="-49"/>
                <w:w w:val="95"/>
                <w:kern w:val="0"/>
                <w:sz w:val="21"/>
                <w:szCs w:val="21"/>
                <w:lang w:eastAsia="en-US"/>
              </w:rPr>
              <w:t xml:space="preserve"> </w:t>
            </w:r>
            <w:r>
              <w:rPr>
                <w:rFonts w:hint="eastAsia" w:ascii="仿宋" w:hAnsi="仿宋" w:eastAsia="仿宋" w:cs="仿宋"/>
                <w:w w:val="95"/>
                <w:kern w:val="0"/>
                <w:sz w:val="21"/>
                <w:szCs w:val="21"/>
                <w:lang w:eastAsia="en-US"/>
              </w:rPr>
              <w:t>2200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20000t/d</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自备水厂</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w:t>
            </w:r>
          </w:p>
        </w:tc>
      </w:tr>
      <w:tr>
        <w:tblPrEx>
          <w:tblCellMar>
            <w:top w:w="0" w:type="dxa"/>
            <w:left w:w="0" w:type="dxa"/>
            <w:bottom w:w="0" w:type="dxa"/>
            <w:right w:w="0" w:type="dxa"/>
          </w:tblCellMar>
        </w:tblPrEx>
        <w:trPr>
          <w:trHeight w:val="737"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0"/>
                <w:kern w:val="0"/>
                <w:sz w:val="21"/>
                <w:szCs w:val="21"/>
                <w:lang w:eastAsia="en-US"/>
              </w:rPr>
              <w:t>3</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zh-CN"/>
              </w:rPr>
            </w:pPr>
            <w:r>
              <w:rPr>
                <w:rFonts w:hint="eastAsia" w:ascii="仿宋" w:hAnsi="仿宋" w:eastAsia="仿宋" w:cs="仿宋"/>
                <w:kern w:val="0"/>
                <w:sz w:val="21"/>
                <w:szCs w:val="21"/>
                <w:lang w:eastAsia="zh-CN"/>
              </w:rPr>
              <w:t>张家港第三水厂取水口</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污水处理厂排口</w:t>
            </w:r>
            <w:r>
              <w:rPr>
                <w:rFonts w:hint="eastAsia" w:ascii="仿宋" w:hAnsi="仿宋" w:eastAsia="仿宋" w:cs="仿宋"/>
                <w:spacing w:val="-103"/>
                <w:kern w:val="0"/>
                <w:sz w:val="21"/>
                <w:szCs w:val="21"/>
                <w:lang w:eastAsia="en-US"/>
              </w:rPr>
              <w:t xml:space="preserve"> </w:t>
            </w:r>
            <w:r>
              <w:rPr>
                <w:rFonts w:hint="eastAsia" w:ascii="仿宋" w:hAnsi="仿宋" w:eastAsia="仿宋" w:cs="仿宋"/>
                <w:w w:val="95"/>
                <w:kern w:val="0"/>
                <w:sz w:val="21"/>
                <w:szCs w:val="21"/>
                <w:lang w:eastAsia="en-US"/>
              </w:rPr>
              <w:t>下游</w:t>
            </w:r>
            <w:r>
              <w:rPr>
                <w:rFonts w:hint="eastAsia" w:ascii="仿宋" w:hAnsi="仿宋" w:eastAsia="仿宋" w:cs="仿宋"/>
                <w:spacing w:val="-54"/>
                <w:w w:val="95"/>
                <w:kern w:val="0"/>
                <w:sz w:val="21"/>
                <w:szCs w:val="21"/>
                <w:lang w:eastAsia="en-US"/>
              </w:rPr>
              <w:t xml:space="preserve"> </w:t>
            </w:r>
            <w:r>
              <w:rPr>
                <w:rFonts w:hint="eastAsia" w:ascii="仿宋" w:hAnsi="仿宋" w:eastAsia="仿宋" w:cs="仿宋"/>
                <w:w w:val="95"/>
                <w:kern w:val="0"/>
                <w:sz w:val="21"/>
                <w:szCs w:val="21"/>
                <w:lang w:eastAsia="en-US"/>
              </w:rPr>
              <w:t>15000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200000t/d</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区域供水</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w:t>
            </w:r>
          </w:p>
        </w:tc>
      </w:tr>
      <w:tr>
        <w:tblPrEx>
          <w:tblCellMar>
            <w:top w:w="0" w:type="dxa"/>
            <w:left w:w="0" w:type="dxa"/>
            <w:bottom w:w="0" w:type="dxa"/>
            <w:right w:w="0" w:type="dxa"/>
          </w:tblCellMar>
        </w:tblPrEx>
        <w:trPr>
          <w:trHeight w:val="599" w:hRule="exact"/>
          <w:jc w:val="center"/>
        </w:trPr>
        <w:tc>
          <w:tcPr>
            <w:tcW w:w="356" w:type="pct"/>
            <w:vMerge w:val="continue"/>
            <w:tcBorders>
              <w:left w:val="single" w:color="000000" w:sz="1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0"/>
                <w:kern w:val="0"/>
                <w:sz w:val="21"/>
                <w:szCs w:val="21"/>
                <w:lang w:eastAsia="en-US"/>
              </w:rPr>
              <w:t>4</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zh-CN"/>
              </w:rPr>
            </w:pPr>
            <w:r>
              <w:rPr>
                <w:rFonts w:hint="eastAsia" w:ascii="仿宋" w:hAnsi="仿宋" w:eastAsia="仿宋" w:cs="仿宋"/>
                <w:kern w:val="0"/>
                <w:sz w:val="21"/>
                <w:szCs w:val="21"/>
                <w:lang w:eastAsia="zh-CN"/>
              </w:rPr>
              <w:t>张家港第四水厂取水口</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NE</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污水处理厂排口</w:t>
            </w:r>
            <w:r>
              <w:rPr>
                <w:rFonts w:hint="eastAsia" w:ascii="仿宋" w:hAnsi="仿宋" w:eastAsia="仿宋" w:cs="仿宋"/>
                <w:spacing w:val="-103"/>
                <w:kern w:val="0"/>
                <w:sz w:val="21"/>
                <w:szCs w:val="21"/>
                <w:lang w:eastAsia="en-US"/>
              </w:rPr>
              <w:t xml:space="preserve"> </w:t>
            </w:r>
            <w:r>
              <w:rPr>
                <w:rFonts w:hint="eastAsia" w:ascii="仿宋" w:hAnsi="仿宋" w:eastAsia="仿宋" w:cs="仿宋"/>
                <w:w w:val="95"/>
                <w:kern w:val="0"/>
                <w:sz w:val="21"/>
                <w:szCs w:val="21"/>
                <w:lang w:eastAsia="en-US"/>
              </w:rPr>
              <w:t>下游</w:t>
            </w:r>
            <w:r>
              <w:rPr>
                <w:rFonts w:hint="eastAsia" w:ascii="仿宋" w:hAnsi="仿宋" w:eastAsia="仿宋" w:cs="仿宋"/>
                <w:spacing w:val="-54"/>
                <w:w w:val="95"/>
                <w:kern w:val="0"/>
                <w:sz w:val="21"/>
                <w:szCs w:val="21"/>
                <w:lang w:eastAsia="en-US"/>
              </w:rPr>
              <w:t xml:space="preserve"> </w:t>
            </w:r>
            <w:r>
              <w:rPr>
                <w:rFonts w:hint="eastAsia" w:ascii="仿宋" w:hAnsi="仿宋" w:eastAsia="仿宋" w:cs="仿宋"/>
                <w:w w:val="95"/>
                <w:kern w:val="0"/>
                <w:sz w:val="21"/>
                <w:szCs w:val="21"/>
                <w:lang w:eastAsia="en-US"/>
              </w:rPr>
              <w:t>15000</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400000t/d</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区域供水</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w:t>
            </w:r>
          </w:p>
        </w:tc>
      </w:tr>
      <w:tr>
        <w:tblPrEx>
          <w:tblCellMar>
            <w:top w:w="0" w:type="dxa"/>
            <w:left w:w="0" w:type="dxa"/>
            <w:bottom w:w="0" w:type="dxa"/>
            <w:right w:w="0" w:type="dxa"/>
          </w:tblCellMar>
        </w:tblPrEx>
        <w:trPr>
          <w:trHeight w:val="701" w:hRule="exact"/>
          <w:jc w:val="center"/>
        </w:trPr>
        <w:tc>
          <w:tcPr>
            <w:tcW w:w="356" w:type="pct"/>
            <w:vMerge w:val="continue"/>
            <w:tcBorders>
              <w:left w:val="single" w:color="000000" w:sz="1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p>
        </w:tc>
        <w:tc>
          <w:tcPr>
            <w:tcW w:w="282"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w w:val="90"/>
                <w:kern w:val="0"/>
                <w:sz w:val="21"/>
                <w:szCs w:val="21"/>
                <w:lang w:eastAsia="en-US"/>
              </w:rPr>
              <w:t>5</w:t>
            </w:r>
          </w:p>
        </w:tc>
        <w:tc>
          <w:tcPr>
            <w:tcW w:w="1258" w:type="pct"/>
            <w:gridSpan w:val="2"/>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spacing w:val="-19"/>
                <w:kern w:val="0"/>
                <w:sz w:val="21"/>
                <w:szCs w:val="21"/>
                <w:lang w:eastAsia="en-US"/>
              </w:rPr>
              <w:t>长江张家港段</w:t>
            </w:r>
          </w:p>
        </w:tc>
        <w:tc>
          <w:tcPr>
            <w:tcW w:w="451" w:type="pct"/>
            <w:tcBorders>
              <w:top w:val="single" w:color="000000" w:sz="2" w:space="0"/>
              <w:left w:val="single" w:color="000000" w:sz="2" w:space="0"/>
              <w:bottom w:val="single" w:color="000000" w:sz="2" w:space="0"/>
              <w:right w:val="single" w:color="000000" w:sz="4"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W</w:t>
            </w:r>
          </w:p>
        </w:tc>
        <w:tc>
          <w:tcPr>
            <w:tcW w:w="708" w:type="pct"/>
            <w:tcBorders>
              <w:top w:val="single" w:color="000000" w:sz="2" w:space="0"/>
              <w:left w:val="single" w:color="000000" w:sz="4"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zh-CN"/>
              </w:rPr>
            </w:pPr>
            <w:r>
              <w:rPr>
                <w:rFonts w:hint="eastAsia" w:ascii="仿宋" w:hAnsi="仿宋" w:eastAsia="仿宋" w:cs="仿宋"/>
                <w:w w:val="95"/>
                <w:kern w:val="0"/>
                <w:sz w:val="21"/>
                <w:szCs w:val="21"/>
                <w:lang w:eastAsia="zh-CN"/>
              </w:rPr>
              <w:t>厂区距离</w:t>
            </w:r>
            <w:r>
              <w:rPr>
                <w:rFonts w:hint="eastAsia" w:ascii="仿宋" w:hAnsi="仿宋" w:eastAsia="仿宋" w:cs="仿宋"/>
                <w:spacing w:val="-25"/>
                <w:w w:val="95"/>
                <w:kern w:val="0"/>
                <w:sz w:val="21"/>
                <w:szCs w:val="21"/>
                <w:lang w:eastAsia="zh-CN"/>
              </w:rPr>
              <w:t xml:space="preserve"> </w:t>
            </w:r>
            <w:r>
              <w:rPr>
                <w:rFonts w:hint="eastAsia" w:ascii="仿宋" w:hAnsi="仿宋" w:eastAsia="仿宋" w:cs="仿宋"/>
                <w:w w:val="95"/>
                <w:kern w:val="0"/>
                <w:sz w:val="21"/>
                <w:szCs w:val="21"/>
                <w:lang w:eastAsia="zh-CN"/>
              </w:rPr>
              <w:t>500m</w:t>
            </w:r>
          </w:p>
          <w:p>
            <w:pPr>
              <w:autoSpaceDE w:val="0"/>
              <w:autoSpaceDN w:val="0"/>
              <w:jc w:val="center"/>
              <w:rPr>
                <w:rFonts w:hint="eastAsia" w:ascii="仿宋" w:hAnsi="仿宋" w:eastAsia="仿宋" w:cs="仿宋"/>
                <w:kern w:val="0"/>
                <w:sz w:val="21"/>
                <w:szCs w:val="21"/>
                <w:lang w:eastAsia="zh-CN"/>
              </w:rPr>
            </w:pPr>
            <w:r>
              <w:rPr>
                <w:rFonts w:hint="eastAsia" w:ascii="仿宋" w:hAnsi="仿宋" w:eastAsia="仿宋" w:cs="仿宋"/>
                <w:kern w:val="0"/>
                <w:sz w:val="21"/>
                <w:szCs w:val="21"/>
                <w:lang w:eastAsia="zh-CN"/>
              </w:rPr>
              <w:t>码头位于长江边</w:t>
            </w:r>
          </w:p>
        </w:tc>
        <w:tc>
          <w:tcPr>
            <w:tcW w:w="886"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大河</w:t>
            </w:r>
          </w:p>
        </w:tc>
        <w:tc>
          <w:tcPr>
            <w:tcW w:w="501" w:type="pct"/>
            <w:tcBorders>
              <w:top w:val="single" w:color="000000" w:sz="2" w:space="0"/>
              <w:left w:val="single" w:color="000000" w:sz="2" w:space="0"/>
              <w:bottom w:val="single" w:color="000000" w:sz="2" w:space="0"/>
              <w:right w:val="single" w:color="000000" w:sz="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河流</w:t>
            </w:r>
          </w:p>
        </w:tc>
        <w:tc>
          <w:tcPr>
            <w:tcW w:w="558" w:type="pct"/>
            <w:tcBorders>
              <w:top w:val="single" w:color="000000" w:sz="2" w:space="0"/>
              <w:left w:val="single" w:color="000000" w:sz="2" w:space="0"/>
              <w:bottom w:val="single" w:color="000000" w:sz="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en-US"/>
              </w:rPr>
            </w:pPr>
            <w:r>
              <w:rPr>
                <w:rFonts w:hint="eastAsia" w:ascii="仿宋" w:hAnsi="仿宋" w:eastAsia="仿宋" w:cs="仿宋"/>
                <w:kern w:val="0"/>
                <w:sz w:val="21"/>
                <w:szCs w:val="21"/>
                <w:lang w:eastAsia="en-US"/>
              </w:rPr>
              <w:t>/</w:t>
            </w:r>
          </w:p>
        </w:tc>
      </w:tr>
      <w:tr>
        <w:tblPrEx>
          <w:tblCellMar>
            <w:top w:w="0" w:type="dxa"/>
            <w:left w:w="0" w:type="dxa"/>
            <w:bottom w:w="0" w:type="dxa"/>
            <w:right w:w="0" w:type="dxa"/>
          </w:tblCellMar>
        </w:tblPrEx>
        <w:trPr>
          <w:trHeight w:val="839" w:hRule="exact"/>
          <w:jc w:val="center"/>
        </w:trPr>
        <w:tc>
          <w:tcPr>
            <w:tcW w:w="5000" w:type="pct"/>
            <w:gridSpan w:val="9"/>
            <w:tcBorders>
              <w:top w:val="single" w:color="000000" w:sz="2" w:space="0"/>
              <w:left w:val="single" w:color="000000" w:sz="12" w:space="0"/>
              <w:bottom w:val="single" w:color="000000" w:sz="12" w:space="0"/>
              <w:right w:val="single" w:color="000000" w:sz="12" w:space="0"/>
            </w:tcBorders>
            <w:vAlign w:val="center"/>
          </w:tcPr>
          <w:p>
            <w:pPr>
              <w:autoSpaceDE w:val="0"/>
              <w:autoSpaceDN w:val="0"/>
              <w:jc w:val="center"/>
              <w:rPr>
                <w:rFonts w:hint="eastAsia" w:ascii="仿宋" w:hAnsi="仿宋" w:eastAsia="仿宋" w:cs="仿宋"/>
                <w:kern w:val="0"/>
                <w:sz w:val="21"/>
                <w:szCs w:val="21"/>
                <w:lang w:eastAsia="zh-CN"/>
              </w:rPr>
            </w:pPr>
            <w:r>
              <w:rPr>
                <w:rFonts w:hint="eastAsia" w:ascii="仿宋" w:hAnsi="仿宋" w:eastAsia="仿宋" w:cs="仿宋"/>
                <w:spacing w:val="-3"/>
                <w:kern w:val="0"/>
                <w:sz w:val="21"/>
                <w:szCs w:val="21"/>
                <w:lang w:eastAsia="zh-CN"/>
              </w:rPr>
              <w:t>注：大气环境距离是指</w:t>
            </w:r>
            <w:r>
              <w:rPr>
                <w:rFonts w:hint="eastAsia" w:ascii="仿宋" w:hAnsi="仿宋" w:eastAsia="仿宋" w:cs="仿宋"/>
                <w:spacing w:val="-3"/>
                <w:kern w:val="0"/>
                <w:sz w:val="21"/>
                <w:szCs w:val="21"/>
                <w:lang w:val="en-US" w:eastAsia="zh-CN"/>
              </w:rPr>
              <w:t>项目</w:t>
            </w:r>
            <w:r>
              <w:rPr>
                <w:rFonts w:hint="eastAsia" w:ascii="仿宋" w:hAnsi="仿宋" w:eastAsia="仿宋" w:cs="仿宋"/>
                <w:spacing w:val="-3"/>
                <w:kern w:val="0"/>
                <w:sz w:val="21"/>
                <w:szCs w:val="21"/>
                <w:lang w:eastAsia="zh-CN"/>
              </w:rPr>
              <w:t>所在地距各保护目标的距离；水环境距离是污水处理厂排水口距各取水口</w:t>
            </w:r>
            <w:r>
              <w:rPr>
                <w:rFonts w:hint="eastAsia" w:ascii="仿宋" w:hAnsi="仿宋" w:eastAsia="仿宋" w:cs="仿宋"/>
                <w:spacing w:val="-50"/>
                <w:kern w:val="0"/>
                <w:sz w:val="21"/>
                <w:szCs w:val="21"/>
                <w:lang w:eastAsia="zh-CN"/>
              </w:rPr>
              <w:t xml:space="preserve"> </w:t>
            </w:r>
            <w:r>
              <w:rPr>
                <w:rFonts w:hint="eastAsia" w:ascii="仿宋" w:hAnsi="仿宋" w:eastAsia="仿宋" w:cs="仿宋"/>
                <w:w w:val="95"/>
                <w:kern w:val="0"/>
                <w:sz w:val="21"/>
                <w:szCs w:val="21"/>
                <w:lang w:eastAsia="zh-CN"/>
              </w:rPr>
              <w:t>的距离。第四水厂与第三水厂共用一个取水口，其水源保护区范围为取水口上游3000m下游3000m。</w:t>
            </w:r>
          </w:p>
        </w:tc>
      </w:tr>
    </w:tbl>
    <w:p>
      <w:pPr>
        <w:pStyle w:val="3"/>
        <w:spacing w:before="120" w:after="120" w:line="360" w:lineRule="auto"/>
        <w:rPr>
          <w:rFonts w:ascii="Times New Roman" w:hAnsi="Times New Roman" w:eastAsia="仿宋"/>
          <w:sz w:val="28"/>
          <w:szCs w:val="28"/>
        </w:rPr>
      </w:pPr>
      <w:bookmarkStart w:id="99" w:name="_Toc1934"/>
      <w:bookmarkStart w:id="100" w:name="_Toc27229"/>
      <w:bookmarkStart w:id="101" w:name="_Toc5307"/>
      <w:bookmarkStart w:id="102" w:name="_Toc498199430"/>
      <w:bookmarkStart w:id="103" w:name="_Toc869"/>
      <w:bookmarkStart w:id="104" w:name="_Toc17163"/>
      <w:bookmarkStart w:id="105" w:name="_Toc512351179"/>
      <w:bookmarkStart w:id="106" w:name="_Toc434353294"/>
      <w:bookmarkStart w:id="107" w:name="_Toc32468"/>
      <w:r>
        <w:rPr>
          <w:rFonts w:ascii="Times New Roman" w:hAnsi="Times New Roman" w:eastAsia="仿宋"/>
          <w:sz w:val="28"/>
          <w:szCs w:val="28"/>
        </w:rPr>
        <w:t>2.3 厂区平面布置</w:t>
      </w:r>
      <w:bookmarkEnd w:id="99"/>
      <w:bookmarkEnd w:id="100"/>
      <w:bookmarkEnd w:id="101"/>
      <w:bookmarkEnd w:id="102"/>
      <w:bookmarkEnd w:id="103"/>
      <w:bookmarkEnd w:id="104"/>
      <w:bookmarkEnd w:id="105"/>
      <w:bookmarkEnd w:id="106"/>
      <w:bookmarkEnd w:id="107"/>
    </w:p>
    <w:p>
      <w:pPr>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rPr>
        <w:t>项目场地位于张家港保税区扬子江国际化学工业园长江北路，北侧邻东华能源（张家港）新材料有限公司，西侧临东华能源股份有限公司，东侧为长江北路，南侧为张家港保税物流园区（东区），占地面积925多亩，分为生产厂区和码头区两大区域。整个平面布置按功能要求分区合理、明确，且厂房四周为宽4~8m环形通道，交通顺畅，充分满足生产和消防的要求。厂区设有人流、物流出入口，厂区内部可环形通道相连，确保安全。目前，场地内主要功能区有生产区、储罐区、装卸区、危废贮存区、废水处置区、应急池、辅助功能区、办公区和生活区，厂区内建、构筑物可分为：</w:t>
      </w:r>
    </w:p>
    <w:p>
      <w:pPr>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rPr>
        <w:t>（1）生产区：一期硫酸生产装置区、二期硫酸生产装置区、氯磺酸生产装置区、一期氯系列产品生产装置区和二期氯系列产品生产装置区等；</w:t>
      </w:r>
    </w:p>
    <w:p>
      <w:pPr>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rPr>
        <w:t>（2）储存区：储罐区、仓库区、工业盐和硫磺堆场、危废仓库等；</w:t>
      </w:r>
    </w:p>
    <w:p>
      <w:pPr>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rPr>
        <w:t>（3）辅助工程：配电房、循环水池、管线、污水处理处置设施、废气治理设施等；</w:t>
      </w:r>
    </w:p>
    <w:p>
      <w:pPr>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rPr>
        <w:t>（4）公用工程：供排水、供配电、天然气、道路、绿化等；</w:t>
      </w:r>
    </w:p>
    <w:p>
      <w:pPr>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rPr>
        <w:t>（5）办公及生活设施：办公区、宿舍、食堂、门卫室等。</w:t>
      </w:r>
    </w:p>
    <w:p>
      <w:pPr>
        <w:jc w:val="center"/>
        <w:rPr>
          <w:rFonts w:hint="eastAsia" w:ascii="Times New Roman" w:hAnsi="Times New Roman" w:eastAsia="仿宋"/>
          <w:sz w:val="24"/>
          <w:szCs w:val="24"/>
        </w:rPr>
        <w:sectPr>
          <w:footerReference r:id="rId6" w:type="default"/>
          <w:pgSz w:w="11906" w:h="16838"/>
          <w:pgMar w:top="1418" w:right="1077" w:bottom="1418" w:left="1077" w:header="851" w:footer="992" w:gutter="284"/>
          <w:pgNumType w:fmt="decimal" w:start="1"/>
          <w:cols w:space="720" w:num="1"/>
          <w:docGrid w:type="lines" w:linePitch="312" w:charSpace="0"/>
        </w:sectPr>
      </w:pPr>
    </w:p>
    <w:p>
      <w:pPr>
        <w:jc w:val="center"/>
        <w:rPr>
          <w:rFonts w:hint="eastAsia" w:ascii="Times New Roman" w:hAnsi="Times New Roman" w:eastAsia="仿宋"/>
          <w:sz w:val="24"/>
          <w:szCs w:val="24"/>
        </w:rPr>
      </w:pPr>
      <w:r>
        <w:rPr>
          <w:rFonts w:eastAsia="仿宋"/>
          <w:sz w:val="28"/>
          <w:szCs w:val="28"/>
        </w:rPr>
        <w:drawing>
          <wp:inline distT="0" distB="0" distL="0" distR="0">
            <wp:extent cx="7104380" cy="5525770"/>
            <wp:effectExtent l="9525" t="9525" r="10795" b="14605"/>
            <wp:docPr id="38" name="图片 38" descr="H:\20双狮环境应急预案PDF版\20双狮环境应急预案PDF版\附图\附图4  项目雨污水管网图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20双狮环境应急预案PDF版\20双狮环境应急预案PDF版\附图\附图4  项目雨污水管网图 Model (1).jpg"/>
                    <pic:cNvPicPr>
                      <a:picLocks noChangeAspect="1" noChangeArrowheads="1"/>
                    </pic:cNvPicPr>
                  </pic:nvPicPr>
                  <pic:blipFill>
                    <a:blip r:embed="rId12" cstate="print">
                      <a:extLst>
                        <a:ext uri="{28A0092B-C50C-407E-A947-70E740481C1C}">
                          <a14:useLocalDpi xmlns:a14="http://schemas.microsoft.com/office/drawing/2010/main" val="0"/>
                        </a:ext>
                      </a:extLst>
                    </a:blip>
                    <a:srcRect l="7381" t="3417" r="9557" b="5095"/>
                    <a:stretch>
                      <a:fillRect/>
                    </a:stretch>
                  </pic:blipFill>
                  <pic:spPr>
                    <a:xfrm>
                      <a:off x="0" y="0"/>
                      <a:ext cx="7104380" cy="5525770"/>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spacing w:after="156" w:afterLines="50"/>
        <w:jc w:val="center"/>
        <w:rPr>
          <w:rFonts w:hint="eastAsia" w:ascii="Times New Roman" w:hAnsi="Times New Roman" w:eastAsia="仿宋"/>
          <w:b/>
          <w:szCs w:val="21"/>
        </w:rPr>
      </w:pPr>
      <w:r>
        <w:rPr>
          <w:rFonts w:ascii="Times New Roman" w:hAnsi="Times New Roman" w:eastAsia="仿宋"/>
          <w:b/>
          <w:szCs w:val="21"/>
        </w:rPr>
        <w:t>图</w:t>
      </w:r>
      <w:r>
        <w:rPr>
          <w:rFonts w:hint="eastAsia" w:ascii="Times New Roman" w:hAnsi="Times New Roman" w:eastAsia="仿宋"/>
          <w:b/>
          <w:szCs w:val="21"/>
        </w:rPr>
        <w:t>2.</w:t>
      </w:r>
      <w:r>
        <w:rPr>
          <w:rFonts w:hint="eastAsia" w:ascii="Times New Roman" w:hAnsi="Times New Roman" w:eastAsia="仿宋"/>
          <w:b/>
          <w:szCs w:val="21"/>
          <w:lang w:val="en-US" w:eastAsia="zh-CN"/>
        </w:rPr>
        <w:t>3</w:t>
      </w:r>
      <w:r>
        <w:rPr>
          <w:rFonts w:hint="eastAsia" w:ascii="Times New Roman" w:hAnsi="Times New Roman" w:eastAsia="仿宋"/>
          <w:b/>
          <w:szCs w:val="21"/>
        </w:rPr>
        <w:t xml:space="preserve"> </w:t>
      </w:r>
      <w:r>
        <w:rPr>
          <w:rFonts w:hint="eastAsia" w:ascii="Times New Roman" w:hAnsi="Times New Roman" w:eastAsia="仿宋"/>
          <w:b/>
          <w:szCs w:val="21"/>
          <w:lang w:val="en-US" w:eastAsia="zh-CN"/>
        </w:rPr>
        <w:t>双狮化工厂区</w:t>
      </w:r>
      <w:r>
        <w:rPr>
          <w:rFonts w:hint="eastAsia" w:ascii="Times New Roman" w:hAnsi="Times New Roman" w:eastAsia="仿宋"/>
          <w:b/>
          <w:szCs w:val="21"/>
        </w:rPr>
        <w:t>平面布置示意图</w:t>
      </w:r>
    </w:p>
    <w:p>
      <w:pPr>
        <w:spacing w:after="156" w:afterLines="50"/>
        <w:jc w:val="center"/>
        <w:rPr>
          <w:rFonts w:hint="eastAsia" w:ascii="Times New Roman" w:hAnsi="Times New Roman" w:eastAsia="仿宋"/>
          <w:b/>
          <w:szCs w:val="21"/>
        </w:rPr>
        <w:sectPr>
          <w:pgSz w:w="16838" w:h="11906" w:orient="landscape"/>
          <w:pgMar w:top="1077" w:right="1418" w:bottom="1077" w:left="1418" w:header="851" w:footer="992" w:gutter="284"/>
          <w:pgNumType w:fmt="decimal"/>
          <w:cols w:space="720" w:num="1"/>
          <w:docGrid w:type="lines" w:linePitch="312" w:charSpace="0"/>
        </w:sectPr>
      </w:pPr>
    </w:p>
    <w:p>
      <w:pPr>
        <w:pStyle w:val="3"/>
        <w:spacing w:before="120" w:after="120" w:line="360" w:lineRule="auto"/>
        <w:rPr>
          <w:rFonts w:ascii="Times New Roman" w:hAnsi="Times New Roman" w:eastAsia="仿宋"/>
          <w:sz w:val="28"/>
          <w:szCs w:val="28"/>
        </w:rPr>
      </w:pPr>
      <w:bookmarkStart w:id="108" w:name="_Toc434353295"/>
      <w:bookmarkStart w:id="109" w:name="_Toc27279"/>
      <w:bookmarkStart w:id="110" w:name="_Toc427516412"/>
      <w:bookmarkStart w:id="111" w:name="_Toc32709"/>
      <w:bookmarkStart w:id="112" w:name="_Toc25761"/>
      <w:bookmarkStart w:id="113" w:name="_Toc8022"/>
      <w:bookmarkStart w:id="114" w:name="_Toc498199431"/>
      <w:bookmarkStart w:id="115" w:name="_Toc15657"/>
      <w:bookmarkStart w:id="116" w:name="_Toc512351180"/>
      <w:bookmarkStart w:id="117" w:name="_Toc10994"/>
      <w:r>
        <w:rPr>
          <w:rFonts w:ascii="Times New Roman" w:hAnsi="Times New Roman" w:eastAsia="仿宋"/>
          <w:sz w:val="28"/>
          <w:szCs w:val="28"/>
        </w:rPr>
        <w:t>2.4</w:t>
      </w:r>
      <w:r>
        <w:rPr>
          <w:rFonts w:hint="eastAsia" w:ascii="Times New Roman" w:hAnsi="Times New Roman" w:eastAsia="仿宋"/>
          <w:sz w:val="28"/>
          <w:szCs w:val="28"/>
        </w:rPr>
        <w:t xml:space="preserve"> </w:t>
      </w:r>
      <w:r>
        <w:rPr>
          <w:rFonts w:ascii="Times New Roman" w:hAnsi="Times New Roman" w:eastAsia="仿宋"/>
          <w:sz w:val="28"/>
          <w:szCs w:val="28"/>
        </w:rPr>
        <w:t>场地现状</w:t>
      </w:r>
      <w:bookmarkEnd w:id="108"/>
      <w:bookmarkEnd w:id="109"/>
      <w:bookmarkEnd w:id="110"/>
      <w:r>
        <w:rPr>
          <w:rFonts w:ascii="Times New Roman" w:hAnsi="Times New Roman" w:eastAsia="仿宋"/>
          <w:sz w:val="28"/>
          <w:szCs w:val="28"/>
        </w:rPr>
        <w:t>及使用历史</w:t>
      </w:r>
      <w:bookmarkEnd w:id="111"/>
      <w:bookmarkEnd w:id="112"/>
      <w:bookmarkEnd w:id="113"/>
      <w:bookmarkEnd w:id="114"/>
      <w:bookmarkEnd w:id="115"/>
      <w:bookmarkEnd w:id="116"/>
      <w:bookmarkEnd w:id="117"/>
    </w:p>
    <w:p>
      <w:pPr>
        <w:spacing w:line="360" w:lineRule="auto"/>
        <w:ind w:firstLine="480" w:firstLineChars="200"/>
        <w:rPr>
          <w:rFonts w:ascii="Times New Roman" w:hAnsi="Times New Roman" w:eastAsia="仿宋"/>
          <w:sz w:val="28"/>
          <w:szCs w:val="28"/>
        </w:rPr>
      </w:pPr>
      <w:r>
        <w:rPr>
          <w:rFonts w:hint="eastAsia" w:ascii="Times New Roman" w:hAnsi="Times New Roman" w:eastAsia="仿宋"/>
          <w:sz w:val="24"/>
          <w:szCs w:val="24"/>
        </w:rPr>
        <w:t>结合现有资料、人员访谈与google地图历史航拍图获知，企业成立于2003年，2003年之前，场地位于张家港市金港镇北荫村，原为农田和居民区，无工业企业存在；2004年，场地内建成一期建设项目，包括长江码头工程、100万吨/年硫酸工程、50000 kW的余热发电机组、9.5万吨/年氯系列产品化工生产装置；2009年，场地内扩建二期建设项目，包括130万吨/年硫酸工程、15万吨有机氯系列化工产品、5万吨氯磺酸项目、50 MW热电项目，主要集中在生产区场地内北侧；2009年至今，地块厂区内主要功能区未发生较大变化。具体情况见Google earth卫星航拍图2.2和访谈信息。</w:t>
      </w:r>
    </w:p>
    <w:p>
      <w:pPr>
        <w:jc w:val="center"/>
        <w:rPr>
          <w:rFonts w:hint="eastAsia" w:ascii="Times New Roman" w:hAnsi="Times New Roman" w:eastAsia="仿宋"/>
          <w:sz w:val="24"/>
          <w:szCs w:val="24"/>
          <w:lang w:eastAsia="zh-CN"/>
        </w:rPr>
      </w:pPr>
      <w:r>
        <w:rPr>
          <w:rFonts w:hint="eastAsia" w:ascii="Times New Roman" w:hAnsi="Times New Roman" w:eastAsia="仿宋"/>
          <w:sz w:val="24"/>
          <w:szCs w:val="24"/>
          <w:lang w:eastAsia="zh-CN"/>
        </w:rPr>
        <w:drawing>
          <wp:inline distT="0" distB="0" distL="114300" distR="114300">
            <wp:extent cx="6005195" cy="5838825"/>
            <wp:effectExtent l="0" t="0" r="1905" b="3175"/>
            <wp:docPr id="1" name="图片 1" descr="双狮历史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双狮历史图"/>
                    <pic:cNvPicPr>
                      <a:picLocks noChangeAspect="1"/>
                    </pic:cNvPicPr>
                  </pic:nvPicPr>
                  <pic:blipFill>
                    <a:blip r:embed="rId13"/>
                    <a:stretch>
                      <a:fillRect/>
                    </a:stretch>
                  </pic:blipFill>
                  <pic:spPr>
                    <a:xfrm>
                      <a:off x="0" y="0"/>
                      <a:ext cx="6005195" cy="5838825"/>
                    </a:xfrm>
                    <a:prstGeom prst="rect">
                      <a:avLst/>
                    </a:prstGeom>
                  </pic:spPr>
                </pic:pic>
              </a:graphicData>
            </a:graphic>
          </wp:inline>
        </w:drawing>
      </w:r>
    </w:p>
    <w:p>
      <w:pPr>
        <w:jc w:val="center"/>
        <w:rPr>
          <w:rFonts w:ascii="Times New Roman" w:hAnsi="Times New Roman" w:eastAsia="仿宋"/>
          <w:b/>
          <w:bCs/>
          <w:szCs w:val="21"/>
        </w:rPr>
      </w:pPr>
      <w:r>
        <w:rPr>
          <w:rFonts w:ascii="Times New Roman" w:hAnsi="Times New Roman" w:eastAsia="仿宋"/>
          <w:b/>
          <w:bCs/>
          <w:szCs w:val="21"/>
        </w:rPr>
        <w:t>图2-</w:t>
      </w:r>
      <w:r>
        <w:rPr>
          <w:rFonts w:hint="eastAsia" w:ascii="Times New Roman" w:hAnsi="Times New Roman" w:eastAsia="仿宋"/>
          <w:b/>
          <w:bCs/>
          <w:szCs w:val="21"/>
        </w:rPr>
        <w:t xml:space="preserve">4 </w:t>
      </w:r>
      <w:r>
        <w:rPr>
          <w:rFonts w:ascii="Times New Roman" w:hAnsi="Times New Roman" w:eastAsia="仿宋"/>
          <w:b/>
          <w:bCs/>
          <w:szCs w:val="21"/>
        </w:rPr>
        <w:t>厂区地块历史卫星航拍图</w:t>
      </w:r>
    </w:p>
    <w:p>
      <w:pPr>
        <w:pStyle w:val="3"/>
        <w:spacing w:before="120" w:after="120" w:line="360" w:lineRule="auto"/>
        <w:rPr>
          <w:rFonts w:ascii="Times New Roman" w:hAnsi="Times New Roman" w:eastAsia="仿宋"/>
          <w:sz w:val="30"/>
          <w:szCs w:val="30"/>
        </w:rPr>
      </w:pPr>
      <w:bookmarkStart w:id="118" w:name="_Toc498199439"/>
      <w:bookmarkStart w:id="119" w:name="_Toc491843930"/>
      <w:bookmarkStart w:id="120" w:name="_Toc2638"/>
      <w:bookmarkStart w:id="121" w:name="_Toc21744"/>
      <w:bookmarkStart w:id="122" w:name="_Toc512351181"/>
      <w:bookmarkStart w:id="123" w:name="_Toc30479"/>
      <w:bookmarkStart w:id="124" w:name="_Toc12157"/>
      <w:bookmarkStart w:id="125" w:name="_Toc12184"/>
      <w:r>
        <w:rPr>
          <w:rFonts w:hint="eastAsia" w:ascii="Times New Roman" w:hAnsi="Times New Roman" w:eastAsia="仿宋"/>
          <w:sz w:val="30"/>
          <w:szCs w:val="30"/>
        </w:rPr>
        <w:t>2</w:t>
      </w:r>
      <w:r>
        <w:rPr>
          <w:rFonts w:ascii="Times New Roman" w:hAnsi="Times New Roman" w:eastAsia="仿宋"/>
          <w:sz w:val="30"/>
          <w:szCs w:val="30"/>
        </w:rPr>
        <w:t>.</w:t>
      </w:r>
      <w:r>
        <w:rPr>
          <w:rFonts w:hint="eastAsia" w:ascii="Times New Roman" w:hAnsi="Times New Roman" w:eastAsia="仿宋"/>
          <w:sz w:val="30"/>
          <w:szCs w:val="30"/>
        </w:rPr>
        <w:t>5</w:t>
      </w:r>
      <w:r>
        <w:rPr>
          <w:rFonts w:ascii="Times New Roman" w:hAnsi="Times New Roman" w:eastAsia="仿宋"/>
          <w:sz w:val="30"/>
          <w:szCs w:val="30"/>
        </w:rPr>
        <w:t xml:space="preserve"> </w:t>
      </w:r>
      <w:bookmarkEnd w:id="118"/>
      <w:bookmarkEnd w:id="119"/>
      <w:r>
        <w:rPr>
          <w:rFonts w:hint="eastAsia" w:ascii="Times New Roman" w:hAnsi="Times New Roman" w:eastAsia="仿宋"/>
          <w:sz w:val="30"/>
          <w:szCs w:val="30"/>
        </w:rPr>
        <w:t>污染物识别</w:t>
      </w:r>
      <w:bookmarkEnd w:id="120"/>
      <w:bookmarkEnd w:id="121"/>
      <w:bookmarkEnd w:id="122"/>
      <w:bookmarkEnd w:id="123"/>
      <w:bookmarkEnd w:id="124"/>
      <w:bookmarkEnd w:id="125"/>
    </w:p>
    <w:p>
      <w:pPr>
        <w:pStyle w:val="4"/>
        <w:spacing w:before="31" w:beforeLines="10" w:after="31" w:afterLines="10" w:line="360" w:lineRule="auto"/>
        <w:rPr>
          <w:rFonts w:ascii="Times New Roman" w:hAnsi="Times New Roman" w:eastAsia="仿宋"/>
          <w:sz w:val="24"/>
          <w:szCs w:val="24"/>
        </w:rPr>
      </w:pPr>
      <w:bookmarkStart w:id="126" w:name="_Toc498199440"/>
      <w:bookmarkStart w:id="127" w:name="_Toc491843931"/>
      <w:bookmarkStart w:id="128" w:name="_Toc3322"/>
      <w:bookmarkStart w:id="129" w:name="_Toc19401"/>
      <w:bookmarkStart w:id="130" w:name="_Toc12621"/>
      <w:bookmarkStart w:id="131" w:name="_Toc30229"/>
      <w:bookmarkStart w:id="132" w:name="_Toc512351182"/>
      <w:bookmarkStart w:id="133" w:name="_Toc27790"/>
      <w:r>
        <w:rPr>
          <w:rFonts w:ascii="Times New Roman" w:hAnsi="Times New Roman" w:eastAsia="仿宋"/>
          <w:sz w:val="24"/>
          <w:szCs w:val="24"/>
        </w:rPr>
        <w:t xml:space="preserve">2.5.1 </w:t>
      </w:r>
      <w:bookmarkEnd w:id="126"/>
      <w:bookmarkEnd w:id="127"/>
      <w:r>
        <w:rPr>
          <w:rFonts w:ascii="Times New Roman" w:hAnsi="Times New Roman" w:eastAsia="仿宋"/>
          <w:sz w:val="24"/>
          <w:szCs w:val="24"/>
        </w:rPr>
        <w:t>主要产品</w:t>
      </w:r>
      <w:bookmarkEnd w:id="128"/>
      <w:bookmarkEnd w:id="129"/>
      <w:bookmarkEnd w:id="130"/>
      <w:bookmarkEnd w:id="131"/>
      <w:bookmarkEnd w:id="132"/>
      <w:bookmarkEnd w:id="133"/>
    </w:p>
    <w:p>
      <w:pPr>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rPr>
        <w:t>双狮（张家港）精细化工有限公司主要产品98.5%硫酸，32%烧碱，48%烧碱，氯磺酸、液氯，31%盐酸，13%次氯酸钠等，环评中提到的银法甲醛项目并没有实施，主要产品信息汇总如下：</w:t>
      </w:r>
    </w:p>
    <w:p>
      <w:pPr>
        <w:jc w:val="center"/>
        <w:rPr>
          <w:rFonts w:hint="eastAsia" w:ascii="仿宋" w:hAnsi="仿宋" w:eastAsia="仿宋" w:cs="仿宋"/>
          <w:b/>
          <w:bCs/>
          <w:sz w:val="21"/>
          <w:szCs w:val="21"/>
        </w:rPr>
      </w:pPr>
      <w:r>
        <w:rPr>
          <w:rFonts w:hint="eastAsia" w:ascii="仿宋" w:hAnsi="仿宋" w:eastAsia="仿宋" w:cs="仿宋"/>
          <w:b/>
          <w:bCs/>
          <w:sz w:val="21"/>
          <w:szCs w:val="21"/>
        </w:rPr>
        <w:t>表2-</w:t>
      </w:r>
      <w:r>
        <w:rPr>
          <w:rFonts w:hint="eastAsia" w:ascii="仿宋" w:hAnsi="仿宋" w:eastAsia="仿宋" w:cs="仿宋"/>
          <w:b/>
          <w:bCs/>
          <w:sz w:val="21"/>
          <w:szCs w:val="21"/>
          <w:lang w:val="en-US" w:eastAsia="zh-CN"/>
        </w:rPr>
        <w:t>4</w:t>
      </w:r>
      <w:r>
        <w:rPr>
          <w:rFonts w:hint="eastAsia" w:ascii="仿宋" w:hAnsi="仿宋" w:eastAsia="仿宋" w:cs="仿宋"/>
          <w:b/>
          <w:bCs/>
          <w:sz w:val="21"/>
          <w:szCs w:val="21"/>
        </w:rPr>
        <w:t>主要产品信息一览表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346"/>
        <w:gridCol w:w="1509"/>
        <w:gridCol w:w="1402"/>
        <w:gridCol w:w="1214"/>
        <w:gridCol w:w="1346"/>
        <w:gridCol w:w="1323"/>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序号</w:t>
            </w:r>
          </w:p>
        </w:tc>
        <w:tc>
          <w:tcPr>
            <w:tcW w:w="695" w:type="pct"/>
            <w:vAlign w:val="center"/>
          </w:tcPr>
          <w:p>
            <w:pPr>
              <w:pStyle w:val="12"/>
              <w:spacing w:line="324" w:lineRule="auto"/>
              <w:ind w:firstLine="51" w:firstLineChars="24"/>
              <w:jc w:val="center"/>
              <w:rPr>
                <w:rFonts w:eastAsia="仿宋" w:cs="Times New Roman"/>
                <w:b/>
                <w:sz w:val="21"/>
                <w:szCs w:val="21"/>
              </w:rPr>
            </w:pPr>
            <w:r>
              <w:rPr>
                <w:rFonts w:eastAsia="仿宋" w:cs="Times New Roman"/>
                <w:b/>
                <w:sz w:val="21"/>
                <w:szCs w:val="21"/>
              </w:rPr>
              <w:t>产品名称</w:t>
            </w:r>
          </w:p>
        </w:tc>
        <w:tc>
          <w:tcPr>
            <w:tcW w:w="779" w:type="pct"/>
            <w:vAlign w:val="center"/>
          </w:tcPr>
          <w:p>
            <w:pPr>
              <w:pStyle w:val="12"/>
              <w:spacing w:line="324" w:lineRule="auto"/>
              <w:ind w:firstLine="51" w:firstLineChars="24"/>
              <w:jc w:val="center"/>
              <w:rPr>
                <w:rFonts w:eastAsia="仿宋" w:cs="Times New Roman"/>
                <w:b/>
                <w:sz w:val="21"/>
                <w:szCs w:val="21"/>
              </w:rPr>
            </w:pPr>
            <w:r>
              <w:rPr>
                <w:rFonts w:eastAsia="仿宋" w:cs="Times New Roman"/>
                <w:b/>
                <w:sz w:val="21"/>
                <w:szCs w:val="21"/>
              </w:rPr>
              <w:t>规格</w:t>
            </w:r>
          </w:p>
        </w:tc>
        <w:tc>
          <w:tcPr>
            <w:tcW w:w="724" w:type="pct"/>
            <w:vAlign w:val="center"/>
          </w:tcPr>
          <w:p>
            <w:pPr>
              <w:jc w:val="center"/>
              <w:rPr>
                <w:rFonts w:eastAsia="仿宋" w:cs="Times New Roman"/>
                <w:b/>
                <w:sz w:val="21"/>
                <w:szCs w:val="21"/>
              </w:rPr>
            </w:pPr>
            <w:r>
              <w:rPr>
                <w:rFonts w:eastAsia="仿宋" w:cs="Times New Roman"/>
                <w:b/>
                <w:sz w:val="21"/>
                <w:szCs w:val="21"/>
              </w:rPr>
              <w:t>生产规模(t/a)</w:t>
            </w:r>
          </w:p>
        </w:tc>
        <w:tc>
          <w:tcPr>
            <w:tcW w:w="627" w:type="pct"/>
            <w:vAlign w:val="center"/>
          </w:tcPr>
          <w:p>
            <w:pPr>
              <w:jc w:val="center"/>
              <w:rPr>
                <w:rFonts w:eastAsia="仿宋" w:cs="Times New Roman"/>
                <w:b/>
                <w:sz w:val="21"/>
                <w:szCs w:val="21"/>
              </w:rPr>
            </w:pPr>
            <w:r>
              <w:rPr>
                <w:rFonts w:eastAsia="仿宋" w:cs="Times New Roman"/>
                <w:b/>
                <w:sz w:val="21"/>
                <w:szCs w:val="21"/>
              </w:rPr>
              <w:t>最大储存量(t)</w:t>
            </w:r>
          </w:p>
        </w:tc>
        <w:tc>
          <w:tcPr>
            <w:tcW w:w="695" w:type="pct"/>
            <w:vAlign w:val="center"/>
          </w:tcPr>
          <w:p>
            <w:pPr>
              <w:adjustRightInd w:val="0"/>
              <w:snapToGrid w:val="0"/>
              <w:spacing w:line="320" w:lineRule="exact"/>
              <w:jc w:val="center"/>
              <w:rPr>
                <w:rFonts w:eastAsia="仿宋" w:cs="Times New Roman"/>
                <w:b/>
                <w:sz w:val="21"/>
                <w:szCs w:val="21"/>
              </w:rPr>
            </w:pPr>
            <w:r>
              <w:rPr>
                <w:rFonts w:eastAsia="仿宋" w:cs="Times New Roman"/>
                <w:b/>
                <w:sz w:val="21"/>
                <w:szCs w:val="21"/>
              </w:rPr>
              <w:t>储存方式</w:t>
            </w:r>
          </w:p>
        </w:tc>
        <w:tc>
          <w:tcPr>
            <w:tcW w:w="683" w:type="pct"/>
            <w:vAlign w:val="center"/>
          </w:tcPr>
          <w:p>
            <w:pPr>
              <w:adjustRightInd w:val="0"/>
              <w:snapToGrid w:val="0"/>
              <w:spacing w:line="320" w:lineRule="exact"/>
              <w:jc w:val="center"/>
              <w:rPr>
                <w:rFonts w:eastAsia="仿宋" w:cs="Times New Roman"/>
                <w:b/>
                <w:sz w:val="21"/>
                <w:szCs w:val="21"/>
              </w:rPr>
            </w:pPr>
            <w:r>
              <w:rPr>
                <w:rFonts w:eastAsia="仿宋" w:cs="Times New Roman"/>
                <w:b/>
                <w:sz w:val="21"/>
                <w:szCs w:val="21"/>
              </w:rPr>
              <w:t>储存位置</w:t>
            </w:r>
          </w:p>
        </w:tc>
        <w:tc>
          <w:tcPr>
            <w:tcW w:w="35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运行时数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一</w:t>
            </w:r>
          </w:p>
        </w:tc>
        <w:tc>
          <w:tcPr>
            <w:tcW w:w="4556" w:type="pct"/>
            <w:gridSpan w:val="7"/>
            <w:vAlign w:val="center"/>
          </w:tcPr>
          <w:p>
            <w:pPr>
              <w:pStyle w:val="12"/>
              <w:spacing w:line="324" w:lineRule="auto"/>
              <w:ind w:firstLine="0" w:firstLineChars="0"/>
              <w:jc w:val="center"/>
              <w:rPr>
                <w:rFonts w:eastAsia="仿宋" w:cs="Times New Roman"/>
                <w:b/>
                <w:sz w:val="21"/>
                <w:szCs w:val="21"/>
              </w:rPr>
            </w:pPr>
            <w:r>
              <w:rPr>
                <w:rFonts w:eastAsia="仿宋" w:cs="Times New Roman"/>
                <w:sz w:val="21"/>
                <w:szCs w:val="21"/>
              </w:rPr>
              <w:t>一期氯系列产品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bCs w:val="0"/>
                <w:sz w:val="21"/>
                <w:szCs w:val="21"/>
              </w:rPr>
            </w:pPr>
            <w:r>
              <w:rPr>
                <w:rFonts w:eastAsia="仿宋" w:cs="Times New Roman"/>
                <w:b/>
                <w:bCs w:val="0"/>
                <w:sz w:val="21"/>
                <w:szCs w:val="21"/>
              </w:rPr>
              <w:t>1</w:t>
            </w:r>
          </w:p>
        </w:tc>
        <w:tc>
          <w:tcPr>
            <w:tcW w:w="695" w:type="pct"/>
            <w:vAlign w:val="center"/>
          </w:tcPr>
          <w:p>
            <w:pPr>
              <w:jc w:val="center"/>
              <w:rPr>
                <w:rFonts w:eastAsia="仿宋" w:cs="Times New Roman"/>
                <w:sz w:val="21"/>
                <w:szCs w:val="21"/>
              </w:rPr>
            </w:pPr>
            <w:r>
              <w:rPr>
                <w:rFonts w:eastAsia="仿宋" w:cs="Times New Roman"/>
                <w:sz w:val="21"/>
                <w:szCs w:val="21"/>
              </w:rPr>
              <w:t>32％烧碱</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32％</w:t>
            </w:r>
          </w:p>
        </w:tc>
        <w:tc>
          <w:tcPr>
            <w:tcW w:w="724" w:type="pct"/>
            <w:vAlign w:val="center"/>
          </w:tcPr>
          <w:p>
            <w:pPr>
              <w:jc w:val="center"/>
              <w:rPr>
                <w:rFonts w:eastAsia="仿宋" w:cs="Times New Roman"/>
                <w:sz w:val="21"/>
                <w:szCs w:val="21"/>
              </w:rPr>
            </w:pPr>
            <w:r>
              <w:rPr>
                <w:rFonts w:eastAsia="仿宋" w:cs="Times New Roman"/>
                <w:sz w:val="21"/>
                <w:szCs w:val="21"/>
              </w:rPr>
              <w:t>189031</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20000</w:t>
            </w:r>
          </w:p>
        </w:tc>
        <w:tc>
          <w:tcPr>
            <w:tcW w:w="695" w:type="pct"/>
            <w:vAlign w:val="center"/>
          </w:tcPr>
          <w:p>
            <w:pPr>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444" w:type="pct"/>
            <w:vAlign w:val="center"/>
          </w:tcPr>
          <w:p>
            <w:pPr>
              <w:pStyle w:val="12"/>
              <w:spacing w:line="324" w:lineRule="auto"/>
              <w:ind w:firstLine="0" w:firstLineChars="0"/>
              <w:jc w:val="center"/>
              <w:rPr>
                <w:rFonts w:eastAsia="仿宋" w:cs="Times New Roman"/>
                <w:b/>
                <w:bCs w:val="0"/>
                <w:sz w:val="21"/>
                <w:szCs w:val="21"/>
              </w:rPr>
            </w:pPr>
            <w:r>
              <w:rPr>
                <w:rFonts w:eastAsia="仿宋" w:cs="Times New Roman"/>
                <w:b/>
                <w:bCs w:val="0"/>
                <w:sz w:val="21"/>
                <w:szCs w:val="21"/>
              </w:rPr>
              <w:t>2</w:t>
            </w:r>
          </w:p>
        </w:tc>
        <w:tc>
          <w:tcPr>
            <w:tcW w:w="695" w:type="pct"/>
            <w:vAlign w:val="center"/>
          </w:tcPr>
          <w:p>
            <w:pPr>
              <w:jc w:val="center"/>
              <w:rPr>
                <w:rFonts w:eastAsia="仿宋" w:cs="Times New Roman"/>
                <w:sz w:val="21"/>
                <w:szCs w:val="21"/>
              </w:rPr>
            </w:pPr>
            <w:r>
              <w:rPr>
                <w:rFonts w:eastAsia="仿宋" w:cs="Times New Roman"/>
                <w:sz w:val="21"/>
                <w:szCs w:val="21"/>
              </w:rPr>
              <w:t>液氯</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99.5%</w:t>
            </w:r>
          </w:p>
        </w:tc>
        <w:tc>
          <w:tcPr>
            <w:tcW w:w="724" w:type="pct"/>
            <w:vAlign w:val="center"/>
          </w:tcPr>
          <w:p>
            <w:pPr>
              <w:jc w:val="center"/>
              <w:rPr>
                <w:rFonts w:eastAsia="仿宋" w:cs="Times New Roman"/>
                <w:sz w:val="21"/>
                <w:szCs w:val="21"/>
              </w:rPr>
            </w:pPr>
            <w:r>
              <w:rPr>
                <w:rFonts w:eastAsia="仿宋" w:cs="Times New Roman"/>
                <w:sz w:val="21"/>
                <w:szCs w:val="21"/>
              </w:rPr>
              <w:t>49225</w:t>
            </w:r>
          </w:p>
        </w:tc>
        <w:tc>
          <w:tcPr>
            <w:tcW w:w="627" w:type="pct"/>
            <w:vAlign w:val="center"/>
          </w:tcPr>
          <w:p>
            <w:pPr>
              <w:jc w:val="center"/>
              <w:rPr>
                <w:rFonts w:eastAsia="仿宋" w:cs="Times New Roman"/>
                <w:sz w:val="21"/>
                <w:szCs w:val="21"/>
              </w:rPr>
            </w:pPr>
            <w:r>
              <w:rPr>
                <w:rFonts w:eastAsia="仿宋" w:cs="Times New Roman"/>
                <w:sz w:val="21"/>
                <w:szCs w:val="21"/>
              </w:rPr>
              <w:t>615.68</w:t>
            </w:r>
          </w:p>
        </w:tc>
        <w:tc>
          <w:tcPr>
            <w:tcW w:w="695" w:type="pct"/>
            <w:vAlign w:val="center"/>
          </w:tcPr>
          <w:p>
            <w:pPr>
              <w:jc w:val="center"/>
              <w:rPr>
                <w:rFonts w:eastAsia="仿宋" w:cs="Times New Roman"/>
                <w:sz w:val="21"/>
                <w:szCs w:val="21"/>
              </w:rPr>
            </w:pPr>
            <w:r>
              <w:rPr>
                <w:rFonts w:eastAsia="仿宋" w:cs="Times New Roman"/>
                <w:sz w:val="21"/>
                <w:szCs w:val="21"/>
              </w:rPr>
              <w:t>储罐、钢瓶</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液氯罐区、包装厂房</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bCs w:val="0"/>
                <w:sz w:val="21"/>
                <w:szCs w:val="21"/>
              </w:rPr>
            </w:pPr>
            <w:r>
              <w:rPr>
                <w:rFonts w:eastAsia="仿宋" w:cs="Times New Roman"/>
                <w:b/>
                <w:bCs w:val="0"/>
                <w:sz w:val="21"/>
                <w:szCs w:val="21"/>
              </w:rPr>
              <w:t>3</w:t>
            </w:r>
          </w:p>
        </w:tc>
        <w:tc>
          <w:tcPr>
            <w:tcW w:w="695" w:type="pct"/>
            <w:vAlign w:val="center"/>
          </w:tcPr>
          <w:p>
            <w:pPr>
              <w:jc w:val="center"/>
              <w:rPr>
                <w:rFonts w:eastAsia="仿宋" w:cs="Times New Roman"/>
                <w:sz w:val="21"/>
                <w:szCs w:val="21"/>
              </w:rPr>
            </w:pPr>
            <w:r>
              <w:rPr>
                <w:rFonts w:eastAsia="仿宋" w:cs="Times New Roman"/>
                <w:sz w:val="21"/>
                <w:szCs w:val="21"/>
              </w:rPr>
              <w:t>盐酸</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31％</w:t>
            </w:r>
          </w:p>
        </w:tc>
        <w:tc>
          <w:tcPr>
            <w:tcW w:w="724" w:type="pct"/>
            <w:vAlign w:val="center"/>
          </w:tcPr>
          <w:p>
            <w:pPr>
              <w:jc w:val="center"/>
              <w:rPr>
                <w:rFonts w:eastAsia="仿宋" w:cs="Times New Roman"/>
                <w:sz w:val="21"/>
                <w:szCs w:val="21"/>
              </w:rPr>
            </w:pPr>
            <w:r>
              <w:rPr>
                <w:rFonts w:eastAsia="仿宋" w:cs="Times New Roman"/>
                <w:sz w:val="21"/>
                <w:szCs w:val="21"/>
              </w:rPr>
              <w:t>17490</w:t>
            </w:r>
          </w:p>
        </w:tc>
        <w:tc>
          <w:tcPr>
            <w:tcW w:w="627" w:type="pct"/>
            <w:vAlign w:val="center"/>
          </w:tcPr>
          <w:p>
            <w:pPr>
              <w:jc w:val="center"/>
              <w:rPr>
                <w:rFonts w:eastAsia="仿宋" w:cs="Times New Roman"/>
                <w:sz w:val="21"/>
                <w:szCs w:val="21"/>
              </w:rPr>
            </w:pPr>
            <w:r>
              <w:rPr>
                <w:rFonts w:eastAsia="仿宋" w:cs="Times New Roman"/>
                <w:sz w:val="21"/>
                <w:szCs w:val="21"/>
              </w:rPr>
              <w:t>1600</w:t>
            </w:r>
          </w:p>
        </w:tc>
        <w:tc>
          <w:tcPr>
            <w:tcW w:w="695" w:type="pct"/>
            <w:vAlign w:val="center"/>
          </w:tcPr>
          <w:p>
            <w:pPr>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bCs w:val="0"/>
                <w:sz w:val="21"/>
                <w:szCs w:val="21"/>
              </w:rPr>
            </w:pPr>
            <w:r>
              <w:rPr>
                <w:rFonts w:eastAsia="仿宋" w:cs="Times New Roman"/>
                <w:b/>
                <w:bCs w:val="0"/>
                <w:sz w:val="21"/>
                <w:szCs w:val="21"/>
              </w:rPr>
              <w:t>4</w:t>
            </w:r>
          </w:p>
        </w:tc>
        <w:tc>
          <w:tcPr>
            <w:tcW w:w="695" w:type="pct"/>
            <w:vAlign w:val="center"/>
          </w:tcPr>
          <w:p>
            <w:pPr>
              <w:jc w:val="center"/>
              <w:rPr>
                <w:rFonts w:eastAsia="仿宋" w:cs="Times New Roman"/>
                <w:sz w:val="21"/>
                <w:szCs w:val="21"/>
              </w:rPr>
            </w:pPr>
            <w:r>
              <w:rPr>
                <w:rFonts w:eastAsia="仿宋" w:cs="Times New Roman"/>
                <w:sz w:val="21"/>
                <w:szCs w:val="21"/>
              </w:rPr>
              <w:t>次氯酸钠</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13％</w:t>
            </w:r>
          </w:p>
        </w:tc>
        <w:tc>
          <w:tcPr>
            <w:tcW w:w="724" w:type="pct"/>
            <w:vAlign w:val="center"/>
          </w:tcPr>
          <w:p>
            <w:pPr>
              <w:jc w:val="center"/>
              <w:rPr>
                <w:rFonts w:eastAsia="仿宋" w:cs="Times New Roman"/>
                <w:sz w:val="21"/>
                <w:szCs w:val="21"/>
              </w:rPr>
            </w:pPr>
            <w:r>
              <w:rPr>
                <w:rFonts w:eastAsia="仿宋" w:cs="Times New Roman"/>
                <w:sz w:val="21"/>
                <w:szCs w:val="21"/>
              </w:rPr>
              <w:t>50000</w:t>
            </w:r>
          </w:p>
        </w:tc>
        <w:tc>
          <w:tcPr>
            <w:tcW w:w="627" w:type="pct"/>
            <w:vAlign w:val="center"/>
          </w:tcPr>
          <w:p>
            <w:pPr>
              <w:jc w:val="center"/>
              <w:rPr>
                <w:rFonts w:eastAsia="仿宋" w:cs="Times New Roman"/>
                <w:sz w:val="21"/>
                <w:szCs w:val="21"/>
              </w:rPr>
            </w:pPr>
            <w:r>
              <w:rPr>
                <w:rFonts w:eastAsia="仿宋" w:cs="Times New Roman"/>
                <w:sz w:val="21"/>
                <w:szCs w:val="21"/>
              </w:rPr>
              <w:t>200</w:t>
            </w:r>
          </w:p>
        </w:tc>
        <w:tc>
          <w:tcPr>
            <w:tcW w:w="695" w:type="pct"/>
            <w:vAlign w:val="center"/>
          </w:tcPr>
          <w:p>
            <w:pPr>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bCs w:val="0"/>
                <w:sz w:val="21"/>
                <w:szCs w:val="21"/>
              </w:rPr>
            </w:pPr>
            <w:r>
              <w:rPr>
                <w:rFonts w:eastAsia="仿宋" w:cs="Times New Roman"/>
                <w:b/>
                <w:bCs w:val="0"/>
                <w:sz w:val="21"/>
                <w:szCs w:val="21"/>
              </w:rPr>
              <w:t>5</w:t>
            </w:r>
          </w:p>
        </w:tc>
        <w:tc>
          <w:tcPr>
            <w:tcW w:w="695" w:type="pct"/>
            <w:vAlign w:val="center"/>
          </w:tcPr>
          <w:p>
            <w:pPr>
              <w:jc w:val="center"/>
              <w:rPr>
                <w:rFonts w:eastAsia="仿宋" w:cs="Times New Roman"/>
                <w:sz w:val="21"/>
                <w:szCs w:val="21"/>
              </w:rPr>
            </w:pPr>
            <w:r>
              <w:rPr>
                <w:rFonts w:eastAsia="仿宋" w:cs="Times New Roman"/>
                <w:sz w:val="21"/>
                <w:szCs w:val="21"/>
              </w:rPr>
              <w:t>高纯盐酸</w:t>
            </w:r>
          </w:p>
        </w:tc>
        <w:tc>
          <w:tcPr>
            <w:tcW w:w="779" w:type="pct"/>
            <w:vAlign w:val="center"/>
          </w:tcPr>
          <w:p>
            <w:pPr>
              <w:jc w:val="center"/>
              <w:rPr>
                <w:rFonts w:eastAsia="仿宋" w:cs="Times New Roman"/>
                <w:sz w:val="21"/>
                <w:szCs w:val="21"/>
              </w:rPr>
            </w:pPr>
            <w:r>
              <w:rPr>
                <w:rFonts w:eastAsia="仿宋" w:cs="Times New Roman"/>
                <w:sz w:val="21"/>
                <w:szCs w:val="21"/>
              </w:rPr>
              <w:t>HCl ≥31%（Wt）</w:t>
            </w:r>
          </w:p>
        </w:tc>
        <w:tc>
          <w:tcPr>
            <w:tcW w:w="724" w:type="pct"/>
            <w:vAlign w:val="center"/>
          </w:tcPr>
          <w:p>
            <w:pPr>
              <w:jc w:val="center"/>
              <w:rPr>
                <w:rFonts w:eastAsia="仿宋" w:cs="Times New Roman"/>
                <w:sz w:val="21"/>
                <w:szCs w:val="21"/>
              </w:rPr>
            </w:pPr>
            <w:r>
              <w:rPr>
                <w:rFonts w:eastAsia="仿宋" w:cs="Times New Roman"/>
                <w:sz w:val="21"/>
                <w:szCs w:val="21"/>
              </w:rPr>
              <w:t>60000</w:t>
            </w:r>
          </w:p>
        </w:tc>
        <w:tc>
          <w:tcPr>
            <w:tcW w:w="627" w:type="pct"/>
            <w:vAlign w:val="center"/>
          </w:tcPr>
          <w:p>
            <w:pPr>
              <w:jc w:val="center"/>
              <w:rPr>
                <w:rFonts w:eastAsia="仿宋" w:cs="Times New Roman"/>
                <w:sz w:val="21"/>
                <w:szCs w:val="21"/>
              </w:rPr>
            </w:pPr>
            <w:r>
              <w:rPr>
                <w:rFonts w:eastAsia="仿宋" w:cs="Times New Roman"/>
                <w:sz w:val="21"/>
                <w:szCs w:val="21"/>
              </w:rPr>
              <w:t>1600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bCs w:val="0"/>
                <w:sz w:val="21"/>
                <w:szCs w:val="21"/>
              </w:rPr>
            </w:pPr>
            <w:r>
              <w:rPr>
                <w:rFonts w:eastAsia="仿宋" w:cs="Times New Roman"/>
                <w:b/>
                <w:bCs w:val="0"/>
                <w:sz w:val="21"/>
                <w:szCs w:val="21"/>
              </w:rPr>
              <w:t>6</w:t>
            </w:r>
          </w:p>
        </w:tc>
        <w:tc>
          <w:tcPr>
            <w:tcW w:w="695" w:type="pct"/>
            <w:vAlign w:val="center"/>
          </w:tcPr>
          <w:p>
            <w:pPr>
              <w:jc w:val="center"/>
              <w:rPr>
                <w:rFonts w:eastAsia="仿宋" w:cs="Times New Roman"/>
                <w:sz w:val="21"/>
                <w:szCs w:val="21"/>
              </w:rPr>
            </w:pPr>
            <w:r>
              <w:rPr>
                <w:rFonts w:eastAsia="仿宋" w:cs="Times New Roman"/>
                <w:sz w:val="21"/>
                <w:szCs w:val="21"/>
              </w:rPr>
              <w:t>48%液碱</w:t>
            </w:r>
          </w:p>
        </w:tc>
        <w:tc>
          <w:tcPr>
            <w:tcW w:w="779" w:type="pct"/>
            <w:vAlign w:val="center"/>
          </w:tcPr>
          <w:p>
            <w:pPr>
              <w:jc w:val="center"/>
              <w:rPr>
                <w:rFonts w:eastAsia="仿宋" w:cs="Times New Roman"/>
                <w:sz w:val="21"/>
                <w:szCs w:val="21"/>
              </w:rPr>
            </w:pPr>
            <w:r>
              <w:rPr>
                <w:rFonts w:eastAsia="仿宋" w:cs="Times New Roman"/>
                <w:sz w:val="21"/>
                <w:szCs w:val="21"/>
              </w:rPr>
              <w:t>48%</w:t>
            </w:r>
          </w:p>
        </w:tc>
        <w:tc>
          <w:tcPr>
            <w:tcW w:w="724" w:type="pct"/>
            <w:vAlign w:val="center"/>
          </w:tcPr>
          <w:p>
            <w:pPr>
              <w:jc w:val="center"/>
              <w:rPr>
                <w:rFonts w:eastAsia="仿宋" w:cs="Times New Roman"/>
                <w:sz w:val="21"/>
                <w:szCs w:val="21"/>
              </w:rPr>
            </w:pPr>
            <w:r>
              <w:rPr>
                <w:rFonts w:eastAsia="仿宋" w:cs="Times New Roman"/>
                <w:sz w:val="21"/>
                <w:szCs w:val="21"/>
              </w:rPr>
              <w:t>41667</w:t>
            </w:r>
          </w:p>
        </w:tc>
        <w:tc>
          <w:tcPr>
            <w:tcW w:w="627" w:type="pct"/>
            <w:vAlign w:val="center"/>
          </w:tcPr>
          <w:p>
            <w:pPr>
              <w:jc w:val="center"/>
              <w:rPr>
                <w:rFonts w:eastAsia="仿宋" w:cs="Times New Roman"/>
                <w:sz w:val="21"/>
                <w:szCs w:val="21"/>
              </w:rPr>
            </w:pPr>
            <w:r>
              <w:rPr>
                <w:rFonts w:eastAsia="仿宋" w:cs="Times New Roman"/>
                <w:sz w:val="21"/>
                <w:szCs w:val="21"/>
              </w:rPr>
              <w:t>30000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二</w:t>
            </w:r>
          </w:p>
        </w:tc>
        <w:tc>
          <w:tcPr>
            <w:tcW w:w="4556" w:type="pct"/>
            <w:gridSpan w:val="7"/>
            <w:vAlign w:val="center"/>
          </w:tcPr>
          <w:p>
            <w:pPr>
              <w:pStyle w:val="12"/>
              <w:spacing w:line="324" w:lineRule="auto"/>
              <w:ind w:firstLine="0" w:firstLineChars="0"/>
              <w:jc w:val="center"/>
              <w:rPr>
                <w:rFonts w:eastAsia="仿宋" w:cs="Times New Roman"/>
                <w:b/>
                <w:sz w:val="21"/>
                <w:szCs w:val="21"/>
              </w:rPr>
            </w:pPr>
            <w:r>
              <w:rPr>
                <w:rFonts w:eastAsia="仿宋" w:cs="Times New Roman"/>
                <w:sz w:val="21"/>
                <w:szCs w:val="21"/>
              </w:rPr>
              <w:t>二期氯系列产品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1</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烧碱</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32％</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93750</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20000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2</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烧碱</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48％</w:t>
            </w:r>
          </w:p>
        </w:tc>
        <w:tc>
          <w:tcPr>
            <w:tcW w:w="724" w:type="pct"/>
            <w:vAlign w:val="center"/>
          </w:tcPr>
          <w:p>
            <w:pPr>
              <w:jc w:val="center"/>
              <w:rPr>
                <w:rFonts w:eastAsia="仿宋" w:cs="Times New Roman"/>
                <w:sz w:val="21"/>
                <w:szCs w:val="21"/>
              </w:rPr>
            </w:pPr>
            <w:r>
              <w:rPr>
                <w:rFonts w:eastAsia="仿宋" w:cs="Times New Roman"/>
                <w:sz w:val="21"/>
                <w:szCs w:val="21"/>
              </w:rPr>
              <w:t>250000</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30000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3</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液氯</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99.5%</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114271.29</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615.68</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储罐、钢瓶</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液氯罐区、包装厂房</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4</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次氯酸钠</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13%</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60000</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200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5</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盐酸</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31%</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50000</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432</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6</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氢</w:t>
            </w:r>
          </w:p>
        </w:tc>
        <w:tc>
          <w:tcPr>
            <w:tcW w:w="779" w:type="pct"/>
            <w:vAlign w:val="center"/>
          </w:tcPr>
          <w:p>
            <w:pPr>
              <w:adjustRightInd w:val="0"/>
              <w:snapToGrid w:val="0"/>
              <w:spacing w:line="320" w:lineRule="exact"/>
              <w:jc w:val="center"/>
              <w:rPr>
                <w:rFonts w:eastAsia="仿宋" w:cs="Times New Roman"/>
                <w:sz w:val="21"/>
                <w:szCs w:val="21"/>
              </w:rPr>
            </w:pP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3355</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管道</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管道</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三</w:t>
            </w:r>
          </w:p>
        </w:tc>
        <w:tc>
          <w:tcPr>
            <w:tcW w:w="4556" w:type="pct"/>
            <w:gridSpan w:val="7"/>
            <w:vAlign w:val="center"/>
          </w:tcPr>
          <w:p>
            <w:pPr>
              <w:pStyle w:val="12"/>
              <w:spacing w:line="324" w:lineRule="auto"/>
              <w:ind w:firstLine="0" w:firstLineChars="0"/>
              <w:jc w:val="center"/>
              <w:rPr>
                <w:rFonts w:eastAsia="仿宋" w:cs="Times New Roman"/>
                <w:b/>
                <w:sz w:val="21"/>
                <w:szCs w:val="21"/>
              </w:rPr>
            </w:pPr>
            <w:r>
              <w:rPr>
                <w:rFonts w:eastAsia="仿宋" w:cs="Times New Roman"/>
                <w:sz w:val="21"/>
                <w:szCs w:val="21"/>
              </w:rPr>
              <w:t>一期硫酸项目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1</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硫酸</w:t>
            </w:r>
          </w:p>
        </w:tc>
        <w:tc>
          <w:tcPr>
            <w:tcW w:w="779" w:type="pct"/>
            <w:vAlign w:val="center"/>
          </w:tcPr>
          <w:p>
            <w:pPr>
              <w:jc w:val="center"/>
              <w:rPr>
                <w:rFonts w:eastAsia="仿宋" w:cs="Times New Roman"/>
                <w:sz w:val="21"/>
                <w:szCs w:val="21"/>
              </w:rPr>
            </w:pPr>
            <w:r>
              <w:rPr>
                <w:rFonts w:eastAsia="仿宋" w:cs="Times New Roman"/>
                <w:kern w:val="0"/>
                <w:sz w:val="21"/>
                <w:szCs w:val="21"/>
              </w:rPr>
              <w:t>98.5％</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1015228.4</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60000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四</w:t>
            </w:r>
          </w:p>
        </w:tc>
        <w:tc>
          <w:tcPr>
            <w:tcW w:w="4556" w:type="pct"/>
            <w:gridSpan w:val="7"/>
            <w:vAlign w:val="center"/>
          </w:tcPr>
          <w:p>
            <w:pPr>
              <w:pStyle w:val="12"/>
              <w:spacing w:line="324" w:lineRule="auto"/>
              <w:ind w:firstLine="0" w:firstLineChars="0"/>
              <w:jc w:val="center"/>
              <w:rPr>
                <w:rFonts w:eastAsia="仿宋" w:cs="Times New Roman"/>
                <w:b/>
                <w:sz w:val="21"/>
                <w:szCs w:val="21"/>
              </w:rPr>
            </w:pPr>
            <w:r>
              <w:rPr>
                <w:rFonts w:eastAsia="仿宋" w:cs="Times New Roman"/>
                <w:sz w:val="21"/>
                <w:szCs w:val="21"/>
              </w:rPr>
              <w:t>二期硫酸项目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1</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硫酸</w:t>
            </w:r>
          </w:p>
        </w:tc>
        <w:tc>
          <w:tcPr>
            <w:tcW w:w="779" w:type="pct"/>
            <w:vAlign w:val="center"/>
          </w:tcPr>
          <w:p>
            <w:pPr>
              <w:jc w:val="center"/>
              <w:rPr>
                <w:rFonts w:eastAsia="仿宋" w:cs="Times New Roman"/>
                <w:sz w:val="21"/>
                <w:szCs w:val="21"/>
              </w:rPr>
            </w:pPr>
            <w:r>
              <w:rPr>
                <w:rFonts w:eastAsia="仿宋" w:cs="Times New Roman"/>
                <w:kern w:val="0"/>
                <w:sz w:val="21"/>
                <w:szCs w:val="21"/>
              </w:rPr>
              <w:t>98.5％</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1015228.4</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60000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2</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硫酸</w:t>
            </w:r>
          </w:p>
        </w:tc>
        <w:tc>
          <w:tcPr>
            <w:tcW w:w="779" w:type="pct"/>
            <w:vAlign w:val="center"/>
          </w:tcPr>
          <w:p>
            <w:pPr>
              <w:jc w:val="center"/>
              <w:rPr>
                <w:rFonts w:eastAsia="仿宋" w:cs="Times New Roman"/>
                <w:sz w:val="21"/>
                <w:szCs w:val="21"/>
              </w:rPr>
            </w:pPr>
            <w:r>
              <w:rPr>
                <w:rFonts w:eastAsia="仿宋" w:cs="Times New Roman"/>
                <w:kern w:val="0"/>
                <w:sz w:val="21"/>
                <w:szCs w:val="21"/>
              </w:rPr>
              <w:t>104.5％</w:t>
            </w:r>
          </w:p>
        </w:tc>
        <w:tc>
          <w:tcPr>
            <w:tcW w:w="724" w:type="pct"/>
            <w:vAlign w:val="center"/>
          </w:tcPr>
          <w:p>
            <w:pPr>
              <w:adjustRightInd w:val="0"/>
              <w:snapToGrid w:val="0"/>
              <w:spacing w:line="320" w:lineRule="exact"/>
              <w:jc w:val="center"/>
              <w:rPr>
                <w:rFonts w:eastAsia="仿宋" w:cs="Times New Roman"/>
                <w:b/>
                <w:sz w:val="21"/>
                <w:szCs w:val="21"/>
              </w:rPr>
            </w:pPr>
            <w:r>
              <w:rPr>
                <w:rFonts w:eastAsia="仿宋" w:cs="Times New Roman"/>
                <w:b/>
                <w:sz w:val="21"/>
                <w:szCs w:val="21"/>
              </w:rPr>
              <w:t>300000</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五</w:t>
            </w:r>
          </w:p>
        </w:tc>
        <w:tc>
          <w:tcPr>
            <w:tcW w:w="4556" w:type="pct"/>
            <w:gridSpan w:val="7"/>
            <w:vAlign w:val="center"/>
          </w:tcPr>
          <w:p>
            <w:pPr>
              <w:pStyle w:val="12"/>
              <w:spacing w:line="324" w:lineRule="auto"/>
              <w:ind w:firstLine="0" w:firstLineChars="0"/>
              <w:jc w:val="center"/>
              <w:rPr>
                <w:rFonts w:eastAsia="仿宋" w:cs="Times New Roman"/>
                <w:b/>
                <w:sz w:val="21"/>
                <w:szCs w:val="21"/>
              </w:rPr>
            </w:pPr>
            <w:r>
              <w:rPr>
                <w:rFonts w:eastAsia="仿宋" w:cs="Times New Roman"/>
                <w:sz w:val="21"/>
                <w:szCs w:val="21"/>
              </w:rPr>
              <w:t>氯磺酸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1</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氯磺酸</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99.5%</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50000</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2000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2</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硫酸</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98％</w:t>
            </w:r>
          </w:p>
        </w:tc>
        <w:tc>
          <w:tcPr>
            <w:tcW w:w="724" w:type="pct"/>
            <w:vAlign w:val="center"/>
          </w:tcPr>
          <w:p>
            <w:pPr>
              <w:jc w:val="center"/>
              <w:rPr>
                <w:rFonts w:eastAsia="仿宋" w:cs="Times New Roman"/>
                <w:sz w:val="21"/>
                <w:szCs w:val="21"/>
              </w:rPr>
            </w:pPr>
            <w:r>
              <w:rPr>
                <w:rFonts w:eastAsia="仿宋" w:cs="Times New Roman"/>
                <w:sz w:val="21"/>
                <w:szCs w:val="21"/>
              </w:rPr>
              <w:t>2607.14</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1000</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44" w:type="pct"/>
            <w:vAlign w:val="center"/>
          </w:tcPr>
          <w:p>
            <w:pPr>
              <w:pStyle w:val="12"/>
              <w:spacing w:line="324" w:lineRule="auto"/>
              <w:ind w:firstLine="0" w:firstLineChars="0"/>
              <w:jc w:val="center"/>
              <w:rPr>
                <w:rFonts w:eastAsia="仿宋" w:cs="Times New Roman"/>
                <w:b/>
                <w:sz w:val="21"/>
                <w:szCs w:val="21"/>
              </w:rPr>
            </w:pPr>
            <w:r>
              <w:rPr>
                <w:rFonts w:eastAsia="仿宋" w:cs="Times New Roman"/>
                <w:b/>
                <w:sz w:val="21"/>
                <w:szCs w:val="21"/>
              </w:rPr>
              <w:t>3</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盐酸</w:t>
            </w:r>
          </w:p>
        </w:tc>
        <w:tc>
          <w:tcPr>
            <w:tcW w:w="779"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30％</w:t>
            </w:r>
          </w:p>
        </w:tc>
        <w:tc>
          <w:tcPr>
            <w:tcW w:w="724"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450.6</w:t>
            </w:r>
          </w:p>
        </w:tc>
        <w:tc>
          <w:tcPr>
            <w:tcW w:w="627"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432</w:t>
            </w:r>
          </w:p>
        </w:tc>
        <w:tc>
          <w:tcPr>
            <w:tcW w:w="695"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w:t>
            </w:r>
          </w:p>
        </w:tc>
        <w:tc>
          <w:tcPr>
            <w:tcW w:w="683" w:type="pct"/>
            <w:vAlign w:val="center"/>
          </w:tcPr>
          <w:p>
            <w:pPr>
              <w:adjustRightInd w:val="0"/>
              <w:snapToGrid w:val="0"/>
              <w:spacing w:line="320" w:lineRule="exact"/>
              <w:jc w:val="center"/>
              <w:rPr>
                <w:rFonts w:eastAsia="仿宋" w:cs="Times New Roman"/>
                <w:sz w:val="21"/>
                <w:szCs w:val="21"/>
              </w:rPr>
            </w:pPr>
            <w:r>
              <w:rPr>
                <w:rFonts w:eastAsia="仿宋" w:cs="Times New Roman"/>
                <w:sz w:val="21"/>
                <w:szCs w:val="21"/>
              </w:rPr>
              <w:t>储罐区</w:t>
            </w:r>
          </w:p>
        </w:tc>
        <w:tc>
          <w:tcPr>
            <w:tcW w:w="354" w:type="pct"/>
            <w:vAlign w:val="center"/>
          </w:tcPr>
          <w:p>
            <w:pPr>
              <w:pStyle w:val="12"/>
              <w:spacing w:line="324" w:lineRule="auto"/>
              <w:ind w:firstLine="0" w:firstLineChars="0"/>
              <w:jc w:val="center"/>
              <w:rPr>
                <w:rFonts w:eastAsia="仿宋" w:cs="Times New Roman"/>
                <w:b/>
                <w:sz w:val="21"/>
                <w:szCs w:val="21"/>
              </w:rPr>
            </w:pPr>
          </w:p>
        </w:tc>
      </w:tr>
    </w:tbl>
    <w:p>
      <w:pPr>
        <w:jc w:val="center"/>
        <w:rPr>
          <w:rFonts w:ascii="Times New Roman" w:hAnsi="Times New Roman" w:eastAsia="仿宋"/>
          <w:b/>
          <w:bCs/>
          <w:sz w:val="24"/>
          <w:szCs w:val="24"/>
        </w:rPr>
      </w:pPr>
    </w:p>
    <w:p>
      <w:pPr>
        <w:pStyle w:val="4"/>
        <w:spacing w:before="31" w:beforeLines="10" w:after="31" w:afterLines="10" w:line="360" w:lineRule="auto"/>
        <w:rPr>
          <w:rFonts w:hint="default" w:ascii="Times New Roman" w:hAnsi="Times New Roman" w:eastAsia="仿宋"/>
          <w:sz w:val="24"/>
          <w:szCs w:val="24"/>
          <w:lang w:val="en-US" w:eastAsia="zh-CN"/>
        </w:rPr>
      </w:pPr>
      <w:bookmarkStart w:id="134" w:name="_Toc498199441"/>
      <w:bookmarkStart w:id="135" w:name="_Toc12737"/>
      <w:bookmarkStart w:id="136" w:name="_Toc17160"/>
      <w:bookmarkStart w:id="137" w:name="_Toc13433"/>
      <w:bookmarkStart w:id="138" w:name="_Toc512351183"/>
      <w:bookmarkStart w:id="139" w:name="_Toc26805"/>
      <w:bookmarkStart w:id="140" w:name="_Toc8669"/>
      <w:r>
        <w:rPr>
          <w:rFonts w:hint="eastAsia" w:ascii="Times New Roman" w:hAnsi="Times New Roman" w:eastAsia="仿宋"/>
          <w:sz w:val="24"/>
          <w:szCs w:val="24"/>
        </w:rPr>
        <w:t>2</w:t>
      </w:r>
      <w:r>
        <w:rPr>
          <w:rFonts w:ascii="Times New Roman" w:hAnsi="Times New Roman" w:eastAsia="仿宋"/>
          <w:sz w:val="24"/>
          <w:szCs w:val="24"/>
        </w:rPr>
        <w:t>.</w:t>
      </w:r>
      <w:r>
        <w:rPr>
          <w:rFonts w:hint="eastAsia" w:ascii="Times New Roman" w:hAnsi="Times New Roman" w:eastAsia="仿宋"/>
          <w:sz w:val="24"/>
          <w:szCs w:val="24"/>
        </w:rPr>
        <w:t>5</w:t>
      </w:r>
      <w:r>
        <w:rPr>
          <w:rFonts w:ascii="Times New Roman" w:hAnsi="Times New Roman" w:eastAsia="仿宋"/>
          <w:sz w:val="24"/>
          <w:szCs w:val="24"/>
        </w:rPr>
        <w:t>.2</w:t>
      </w:r>
      <w:bookmarkEnd w:id="134"/>
      <w:r>
        <w:rPr>
          <w:rFonts w:hint="eastAsia" w:ascii="Times New Roman" w:hAnsi="Times New Roman" w:eastAsia="仿宋"/>
          <w:sz w:val="24"/>
          <w:szCs w:val="24"/>
        </w:rPr>
        <w:t xml:space="preserve"> 主要原辅料</w:t>
      </w:r>
      <w:bookmarkEnd w:id="135"/>
      <w:bookmarkEnd w:id="136"/>
      <w:bookmarkEnd w:id="137"/>
      <w:bookmarkEnd w:id="138"/>
      <w:bookmarkEnd w:id="139"/>
      <w:r>
        <w:rPr>
          <w:rFonts w:hint="eastAsia" w:ascii="Times New Roman" w:hAnsi="Times New Roman" w:eastAsia="仿宋"/>
          <w:sz w:val="24"/>
          <w:szCs w:val="24"/>
          <w:lang w:val="en-US" w:eastAsia="zh-CN"/>
        </w:rPr>
        <w:t>及其理化特性</w:t>
      </w:r>
      <w:bookmarkEnd w:id="140"/>
    </w:p>
    <w:p>
      <w:pPr>
        <w:spacing w:line="360" w:lineRule="auto"/>
        <w:ind w:firstLine="480" w:firstLineChars="200"/>
        <w:rPr>
          <w:rFonts w:ascii="Times New Roman" w:hAnsi="Times New Roman" w:eastAsia="仿宋"/>
          <w:sz w:val="24"/>
          <w:szCs w:val="24"/>
        </w:rPr>
        <w:sectPr>
          <w:pgSz w:w="11906" w:h="16838"/>
          <w:pgMar w:top="1418" w:right="1077" w:bottom="1418" w:left="1077" w:header="851" w:footer="992" w:gutter="284"/>
          <w:pgNumType w:fmt="decimal"/>
          <w:cols w:space="720" w:num="1"/>
          <w:docGrid w:type="lines" w:linePitch="312" w:charSpace="0"/>
        </w:sectPr>
      </w:pPr>
      <w:r>
        <w:rPr>
          <w:rFonts w:hint="eastAsia" w:ascii="Times New Roman" w:hAnsi="Times New Roman" w:eastAsia="仿宋"/>
          <w:sz w:val="24"/>
          <w:szCs w:val="24"/>
          <w:lang w:val="en-US" w:eastAsia="zh-CN"/>
        </w:rPr>
        <w:t>双狮化工</w:t>
      </w:r>
      <w:r>
        <w:rPr>
          <w:rFonts w:hint="eastAsia" w:ascii="Times New Roman" w:hAnsi="Times New Roman" w:eastAsia="仿宋"/>
          <w:sz w:val="24"/>
          <w:szCs w:val="24"/>
        </w:rPr>
        <w:t>主</w:t>
      </w:r>
      <w:bookmarkStart w:id="344" w:name="_GoBack"/>
      <w:bookmarkEnd w:id="344"/>
      <w:r>
        <w:rPr>
          <w:rFonts w:hint="eastAsia" w:ascii="Times New Roman" w:hAnsi="Times New Roman" w:eastAsia="仿宋"/>
          <w:sz w:val="24"/>
          <w:szCs w:val="24"/>
        </w:rPr>
        <w:t>要原辅料</w:t>
      </w:r>
      <w:r>
        <w:rPr>
          <w:rFonts w:hint="eastAsia" w:ascii="Times New Roman" w:hAnsi="Times New Roman" w:eastAsia="仿宋"/>
          <w:sz w:val="24"/>
          <w:szCs w:val="24"/>
          <w:lang w:val="en-US" w:eastAsia="zh-CN"/>
        </w:rPr>
        <w:t>使用</w:t>
      </w:r>
      <w:r>
        <w:rPr>
          <w:rFonts w:hint="eastAsia" w:ascii="Times New Roman" w:hAnsi="Times New Roman" w:eastAsia="仿宋"/>
          <w:sz w:val="24"/>
          <w:szCs w:val="24"/>
        </w:rPr>
        <w:t>信息如下</w:t>
      </w:r>
      <w:r>
        <w:rPr>
          <w:rFonts w:hint="eastAsia" w:ascii="Times New Roman" w:hAnsi="Times New Roman" w:eastAsia="仿宋"/>
          <w:sz w:val="24"/>
          <w:szCs w:val="24"/>
          <w:lang w:val="en-US" w:eastAsia="zh-CN"/>
        </w:rPr>
        <w:t>表</w:t>
      </w:r>
      <w:r>
        <w:rPr>
          <w:rFonts w:ascii="Times New Roman" w:hAnsi="Times New Roman" w:eastAsia="仿宋"/>
          <w:sz w:val="24"/>
          <w:szCs w:val="24"/>
        </w:rPr>
        <w:t>。</w:t>
      </w:r>
    </w:p>
    <w:p>
      <w:pPr>
        <w:jc w:val="center"/>
        <w:rPr>
          <w:rFonts w:ascii="Times New Roman" w:hAnsi="Times New Roman" w:eastAsia="仿宋"/>
          <w:b/>
          <w:bCs/>
          <w:sz w:val="24"/>
          <w:szCs w:val="24"/>
        </w:rPr>
      </w:pPr>
    </w:p>
    <w:p>
      <w:pPr>
        <w:jc w:val="center"/>
        <w:rPr>
          <w:rFonts w:ascii="Times New Roman" w:hAnsi="Times New Roman" w:eastAsia="仿宋"/>
          <w:b/>
          <w:bCs/>
          <w:sz w:val="21"/>
          <w:szCs w:val="21"/>
        </w:rPr>
      </w:pPr>
      <w:r>
        <w:rPr>
          <w:rFonts w:ascii="Times New Roman" w:hAnsi="Times New Roman" w:eastAsia="仿宋"/>
          <w:b/>
          <w:bCs/>
          <w:sz w:val="21"/>
          <w:szCs w:val="21"/>
        </w:rPr>
        <w:t>表2-</w:t>
      </w:r>
      <w:r>
        <w:rPr>
          <w:rFonts w:hint="eastAsia" w:ascii="Times New Roman" w:hAnsi="Times New Roman" w:eastAsia="仿宋"/>
          <w:b/>
          <w:bCs/>
          <w:sz w:val="21"/>
          <w:szCs w:val="21"/>
          <w:lang w:val="en-US" w:eastAsia="zh-CN"/>
        </w:rPr>
        <w:t>5</w:t>
      </w:r>
      <w:r>
        <w:rPr>
          <w:rFonts w:ascii="Times New Roman" w:hAnsi="Times New Roman" w:eastAsia="仿宋"/>
          <w:b/>
          <w:bCs/>
          <w:sz w:val="21"/>
          <w:szCs w:val="21"/>
        </w:rPr>
        <w:t>主要原辅材料表</w:t>
      </w:r>
    </w:p>
    <w:tbl>
      <w:tblPr>
        <w:tblStyle w:val="230"/>
        <w:tblW w:w="5000" w:type="pct"/>
        <w:tblInd w:w="0" w:type="dxa"/>
        <w:tblLayout w:type="autofit"/>
        <w:tblCellMar>
          <w:top w:w="0" w:type="dxa"/>
          <w:left w:w="0" w:type="dxa"/>
          <w:bottom w:w="0" w:type="dxa"/>
          <w:right w:w="0" w:type="dxa"/>
        </w:tblCellMar>
      </w:tblPr>
      <w:tblGrid>
        <w:gridCol w:w="908"/>
        <w:gridCol w:w="801"/>
        <w:gridCol w:w="1827"/>
        <w:gridCol w:w="611"/>
        <w:gridCol w:w="922"/>
        <w:gridCol w:w="1230"/>
        <w:gridCol w:w="1040"/>
        <w:gridCol w:w="1104"/>
        <w:gridCol w:w="1569"/>
        <w:gridCol w:w="961"/>
        <w:gridCol w:w="989"/>
        <w:gridCol w:w="1026"/>
        <w:gridCol w:w="1024"/>
      </w:tblGrid>
      <w:tr>
        <w:trPr>
          <w:trHeight w:val="760" w:hRule="atLeast"/>
        </w:trPr>
        <w:tc>
          <w:tcPr>
            <w:tcW w:w="32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项目</w:t>
            </w:r>
          </w:p>
        </w:tc>
        <w:tc>
          <w:tcPr>
            <w:tcW w:w="28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类别</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化学品名称</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物态</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规格</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单耗（kg/t）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spacing w:val="-7"/>
                <w:kern w:val="0"/>
                <w:sz w:val="21"/>
                <w:szCs w:val="21"/>
                <w:lang w:eastAsia="en-US"/>
              </w:rPr>
              <w:t>年耗量（t）</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spacing w:val="-13"/>
                <w:kern w:val="0"/>
                <w:sz w:val="21"/>
                <w:szCs w:val="21"/>
                <w:lang w:eastAsia="en-US"/>
              </w:rPr>
              <w:t>日耗量（t/d</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spacing w:val="-8"/>
                <w:kern w:val="0"/>
                <w:sz w:val="21"/>
                <w:szCs w:val="21"/>
                <w:lang w:eastAsia="en-US"/>
              </w:rPr>
              <w:t>）最大储存量（t）</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运输方式</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贮存方式</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贮存地点</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容器规格</w:t>
            </w:r>
          </w:p>
        </w:tc>
      </w:tr>
      <w:tr>
        <w:tblPrEx>
          <w:tblCellMar>
            <w:top w:w="0" w:type="dxa"/>
            <w:left w:w="0" w:type="dxa"/>
            <w:bottom w:w="0" w:type="dxa"/>
            <w:right w:w="0" w:type="dxa"/>
          </w:tblCellMar>
        </w:tblPrEx>
        <w:tc>
          <w:tcPr>
            <w:tcW w:w="324"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硫酸</w:t>
            </w: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原料</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液硫</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≥99.5%</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0.38</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762000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2288</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20000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3000m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rPr>
          <w:trHeight w:val="624" w:hRule="atLeast"/>
        </w:trPr>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催化剂</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钒触媒</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0.03</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60000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180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不储存</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汽运</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66" w:type="pct"/>
            <w:tcBorders>
              <w:top w:val="single" w:color="000000" w:sz="4" w:space="0"/>
              <w:left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只在开车</w:t>
            </w:r>
          </w:p>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时使用</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中间品</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二氧化硫</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气</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0.145(在线量)</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管道</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三氧化硫</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气</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2.23(在线量)</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管道</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产品</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硫酸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98.5</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2000000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6666</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80000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6000m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发烟硫酸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104.5%</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300000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1000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3060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3000m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氯磺酸</w:t>
            </w: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原料</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HCl</w:t>
            </w:r>
            <w:r>
              <w:rPr>
                <w:rFonts w:ascii="Times New Roman" w:hAnsi="Times New Roman" w:eastAsia="仿宋" w:cs="Times New Roman"/>
                <w:spacing w:val="1"/>
                <w:kern w:val="0"/>
                <w:sz w:val="21"/>
                <w:szCs w:val="21"/>
                <w:lang w:eastAsia="en-US"/>
              </w:rPr>
              <w:t xml:space="preserve"> </w:t>
            </w:r>
            <w:r>
              <w:rPr>
                <w:rFonts w:ascii="Times New Roman" w:hAnsi="Times New Roman" w:eastAsia="仿宋" w:cs="Times New Roman"/>
                <w:kern w:val="0"/>
                <w:sz w:val="21"/>
                <w:szCs w:val="21"/>
                <w:lang w:eastAsia="en-US"/>
              </w:rPr>
              <w:t>混合气体</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气</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0.33</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16346.116</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49</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不储存</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管道</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SO</w:t>
            </w:r>
            <w:r>
              <w:rPr>
                <w:rFonts w:ascii="Times New Roman" w:hAnsi="Times New Roman" w:eastAsia="仿宋" w:cs="Times New Roman"/>
                <w:kern w:val="0"/>
                <w:sz w:val="21"/>
                <w:szCs w:val="21"/>
                <w:vertAlign w:val="subscript"/>
                <w:lang w:eastAsia="en-US"/>
              </w:rPr>
              <w:t>3</w:t>
            </w:r>
            <w:r>
              <w:rPr>
                <w:rFonts w:ascii="Times New Roman" w:hAnsi="Times New Roman" w:eastAsia="仿宋" w:cs="Times New Roman"/>
                <w:spacing w:val="2"/>
                <w:kern w:val="0"/>
                <w:sz w:val="21"/>
                <w:szCs w:val="21"/>
                <w:lang w:eastAsia="en-US"/>
              </w:rPr>
              <w:t xml:space="preserve"> </w:t>
            </w:r>
            <w:r>
              <w:rPr>
                <w:rFonts w:ascii="Times New Roman" w:hAnsi="Times New Roman" w:eastAsia="仿宋" w:cs="Times New Roman"/>
                <w:kern w:val="0"/>
                <w:sz w:val="21"/>
                <w:szCs w:val="21"/>
                <w:lang w:eastAsia="en-US"/>
              </w:rPr>
              <w:t>混合气体</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气</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0.73</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36610.232</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110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不储存</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管道</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氢氧化钠溶液</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32%</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0.034</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1708.9</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5.1</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10000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200m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产品</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氯磺酸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纯品</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50000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150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38m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硫酸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98%</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0.052</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2607.14</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7.8</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5</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5m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盐酸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30%</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0.009</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450.6</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1.35</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400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94m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亚硫酸钠</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20%</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0.039</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1932</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5.8</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厂内</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化盐厂房</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100m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氯系列</w:t>
            </w:r>
            <w:r>
              <w:rPr>
                <w:rFonts w:ascii="Times New Roman" w:hAnsi="Times New Roman" w:eastAsia="仿宋" w:cs="Times New Roman"/>
                <w:spacing w:val="-102"/>
                <w:kern w:val="0"/>
                <w:sz w:val="21"/>
                <w:szCs w:val="21"/>
                <w:lang w:eastAsia="en-US"/>
              </w:rPr>
              <w:t xml:space="preserve"> </w:t>
            </w:r>
            <w:r>
              <w:rPr>
                <w:rFonts w:ascii="Times New Roman" w:hAnsi="Times New Roman" w:eastAsia="仿宋" w:cs="Times New Roman"/>
                <w:kern w:val="0"/>
                <w:sz w:val="21"/>
                <w:szCs w:val="21"/>
                <w:lang w:eastAsia="en-US"/>
              </w:rPr>
              <w:t>产品</w:t>
            </w: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原料</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工业盐(折</w:t>
            </w:r>
            <w:r>
              <w:rPr>
                <w:rFonts w:ascii="Times New Roman" w:hAnsi="Times New Roman" w:eastAsia="仿宋" w:cs="Times New Roman"/>
                <w:spacing w:val="-53"/>
                <w:kern w:val="0"/>
                <w:sz w:val="21"/>
                <w:szCs w:val="21"/>
                <w:lang w:eastAsia="en-US"/>
              </w:rPr>
              <w:t xml:space="preserve"> </w:t>
            </w:r>
            <w:r>
              <w:rPr>
                <w:rFonts w:ascii="Times New Roman" w:hAnsi="Times New Roman" w:eastAsia="仿宋" w:cs="Times New Roman"/>
                <w:kern w:val="0"/>
                <w:sz w:val="21"/>
                <w:szCs w:val="21"/>
                <w:lang w:eastAsia="en-US"/>
              </w:rPr>
              <w:t>100％)</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固</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95％</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0.679</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348000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1045</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85000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船运</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散装</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盐堆场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纯碱(折</w:t>
            </w:r>
            <w:r>
              <w:rPr>
                <w:rFonts w:ascii="Times New Roman" w:hAnsi="Times New Roman" w:eastAsia="仿宋" w:cs="Times New Roman"/>
                <w:spacing w:val="-52"/>
                <w:kern w:val="0"/>
                <w:sz w:val="21"/>
                <w:szCs w:val="21"/>
                <w:lang w:eastAsia="en-US"/>
              </w:rPr>
              <w:t xml:space="preserve"> </w:t>
            </w:r>
            <w:r>
              <w:rPr>
                <w:rFonts w:ascii="Times New Roman" w:hAnsi="Times New Roman" w:eastAsia="仿宋" w:cs="Times New Roman"/>
                <w:kern w:val="0"/>
                <w:sz w:val="21"/>
                <w:szCs w:val="21"/>
                <w:lang w:eastAsia="en-US"/>
              </w:rPr>
              <w:t>100％)</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固</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96％</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0.0058</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2995</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9</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40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汽运</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袋装</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化盐厂房</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50Kg/袋</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亚硫酸钠(折</w:t>
            </w:r>
            <w:r>
              <w:rPr>
                <w:rFonts w:ascii="Times New Roman" w:hAnsi="Times New Roman" w:eastAsia="仿宋" w:cs="Times New Roman"/>
                <w:spacing w:val="-54"/>
                <w:kern w:val="0"/>
                <w:sz w:val="21"/>
                <w:szCs w:val="21"/>
                <w:lang w:eastAsia="en-US"/>
              </w:rPr>
              <w:t xml:space="preserve"> </w:t>
            </w:r>
            <w:r>
              <w:rPr>
                <w:rFonts w:ascii="Times New Roman" w:hAnsi="Times New Roman" w:eastAsia="仿宋" w:cs="Times New Roman"/>
                <w:kern w:val="0"/>
                <w:sz w:val="21"/>
                <w:szCs w:val="21"/>
                <w:lang w:eastAsia="en-US"/>
              </w:rPr>
              <w:t>100％)</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96％</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0.0011</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580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1.7</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厂内</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化盐厂房</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20m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高纯盐酸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31%</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0.043</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22166</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66.5</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3360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厂内</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10m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烧碱</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32%</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0.122</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62475</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188</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12000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厂内</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袋装</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化盐厂房</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5m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浓硫酸(折</w:t>
            </w:r>
            <w:r>
              <w:rPr>
                <w:rFonts w:ascii="Times New Roman" w:hAnsi="Times New Roman" w:eastAsia="仿宋" w:cs="Times New Roman"/>
                <w:spacing w:val="-53"/>
                <w:kern w:val="0"/>
                <w:sz w:val="21"/>
                <w:szCs w:val="21"/>
                <w:lang w:eastAsia="en-US"/>
              </w:rPr>
              <w:t xml:space="preserve"> </w:t>
            </w:r>
            <w:r>
              <w:rPr>
                <w:rFonts w:ascii="Times New Roman" w:hAnsi="Times New Roman" w:eastAsia="仿宋" w:cs="Times New Roman"/>
                <w:kern w:val="0"/>
                <w:sz w:val="21"/>
                <w:szCs w:val="21"/>
                <w:lang w:eastAsia="en-US"/>
              </w:rPr>
              <w:t>100％)</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98%</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0.0081</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4172</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12.5</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5m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供气</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氮气</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气</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144000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432</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管道</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restart"/>
            <w:tcBorders>
              <w:top w:val="single" w:color="000000" w:sz="4" w:space="0"/>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产品</w:t>
            </w: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烧碱</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48%</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120000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360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36000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6000m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烧碱</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32%</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90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12000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码头管道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2000m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液氯</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163525</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491</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600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汽运</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spacing w:val="-17"/>
                <w:kern w:val="0"/>
                <w:sz w:val="21"/>
                <w:szCs w:val="21"/>
                <w:lang w:eastAsia="en-US"/>
              </w:rPr>
              <w:t>储罐、钢瓶</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液氯罐区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80m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次氯酸钠</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13%</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85800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188</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258</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汽运</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200m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盐酸</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31%</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110000</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330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800</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汽运</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储罐区</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500m</w:t>
            </w:r>
            <w:r>
              <w:rPr>
                <w:rFonts w:ascii="Times New Roman" w:hAnsi="Times New Roman" w:eastAsia="仿宋" w:cs="Times New Roman"/>
                <w:kern w:val="0"/>
                <w:position w:val="10"/>
                <w:sz w:val="21"/>
                <w:szCs w:val="21"/>
                <w:lang w:eastAsia="en-US"/>
              </w:rPr>
              <w:t>3</w:t>
            </w:r>
          </w:p>
        </w:tc>
      </w:tr>
      <w:tr>
        <w:tblPrEx>
          <w:tblCellMar>
            <w:top w:w="0" w:type="dxa"/>
            <w:left w:w="0" w:type="dxa"/>
            <w:bottom w:w="0" w:type="dxa"/>
            <w:right w:w="0" w:type="dxa"/>
          </w:tblCellMar>
        </w:tblPrEx>
        <w:tc>
          <w:tcPr>
            <w:tcW w:w="324"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286" w:type="pct"/>
            <w:vMerge w:val="continue"/>
            <w:tcBorders>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p>
        </w:tc>
        <w:tc>
          <w:tcPr>
            <w:tcW w:w="652"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氢</w:t>
            </w:r>
          </w:p>
        </w:tc>
        <w:tc>
          <w:tcPr>
            <w:tcW w:w="218"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气</w:t>
            </w:r>
          </w:p>
        </w:tc>
        <w:tc>
          <w:tcPr>
            <w:tcW w:w="3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43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371"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3355</w:t>
            </w:r>
          </w:p>
        </w:tc>
        <w:tc>
          <w:tcPr>
            <w:tcW w:w="39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10</w:t>
            </w:r>
          </w:p>
        </w:tc>
        <w:tc>
          <w:tcPr>
            <w:tcW w:w="560"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不储存</w:t>
            </w:r>
          </w:p>
        </w:tc>
        <w:tc>
          <w:tcPr>
            <w:tcW w:w="34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管道</w:t>
            </w:r>
          </w:p>
        </w:tc>
        <w:tc>
          <w:tcPr>
            <w:tcW w:w="353"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管道</w:t>
            </w:r>
          </w:p>
        </w:tc>
        <w:tc>
          <w:tcPr>
            <w:tcW w:w="366"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管道</w:t>
            </w:r>
          </w:p>
        </w:tc>
        <w:tc>
          <w:tcPr>
            <w:tcW w:w="365"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r>
    </w:tbl>
    <w:p>
      <w:pPr>
        <w:jc w:val="both"/>
        <w:rPr>
          <w:rFonts w:ascii="Times New Roman" w:hAnsi="Times New Roman" w:eastAsia="仿宋"/>
          <w:b/>
          <w:bCs/>
          <w:sz w:val="24"/>
          <w:szCs w:val="24"/>
        </w:rPr>
        <w:sectPr>
          <w:pgSz w:w="16838" w:h="11906" w:orient="landscape"/>
          <w:pgMar w:top="1077" w:right="1418" w:bottom="1077" w:left="1418" w:header="851" w:footer="992" w:gutter="284"/>
          <w:pgNumType w:fmt="decimal"/>
          <w:cols w:space="720" w:num="1"/>
          <w:docGrid w:type="lines" w:linePitch="312" w:charSpace="0"/>
        </w:sectPr>
      </w:pPr>
    </w:p>
    <w:p>
      <w:pPr>
        <w:pStyle w:val="57"/>
        <w:adjustRightInd/>
        <w:spacing w:before="163" w:beforeLines="50"/>
        <w:jc w:val="center"/>
        <w:rPr>
          <w:rFonts w:hint="eastAsia" w:ascii="Times New Roman" w:hAnsi="Times New Roman" w:eastAsia="仿宋"/>
          <w:b/>
          <w:bCs/>
          <w:sz w:val="21"/>
          <w:szCs w:val="21"/>
          <w:lang w:eastAsia="zh-CN"/>
        </w:rPr>
      </w:pPr>
      <w:bookmarkStart w:id="141" w:name="_Toc512351184"/>
      <w:bookmarkStart w:id="142" w:name="_Toc30275"/>
      <w:bookmarkStart w:id="143" w:name="_Toc794"/>
      <w:bookmarkStart w:id="144" w:name="_Toc19874"/>
      <w:bookmarkStart w:id="145" w:name="_Toc8907"/>
      <w:r>
        <w:rPr>
          <w:rFonts w:ascii="Times New Roman" w:hAnsi="Times New Roman" w:eastAsia="仿宋"/>
          <w:b/>
          <w:bCs/>
          <w:sz w:val="21"/>
          <w:szCs w:val="21"/>
        </w:rPr>
        <w:t>表2-</w:t>
      </w:r>
      <w:r>
        <w:rPr>
          <w:rFonts w:hint="eastAsia" w:ascii="Times New Roman" w:hAnsi="Times New Roman" w:eastAsia="仿宋"/>
          <w:b/>
          <w:bCs/>
          <w:sz w:val="21"/>
          <w:szCs w:val="21"/>
          <w:lang w:val="en-US" w:eastAsia="zh-CN"/>
        </w:rPr>
        <w:t>6</w:t>
      </w:r>
      <w:r>
        <w:rPr>
          <w:rFonts w:ascii="Times New Roman" w:hAnsi="Times New Roman" w:eastAsia="仿宋"/>
          <w:b/>
          <w:bCs/>
          <w:sz w:val="21"/>
          <w:szCs w:val="21"/>
        </w:rPr>
        <w:t xml:space="preserve"> 主要原辅材料理化</w:t>
      </w:r>
      <w:r>
        <w:rPr>
          <w:rFonts w:hint="eastAsia" w:ascii="Times New Roman" w:hAnsi="Times New Roman" w:eastAsia="仿宋"/>
          <w:b/>
          <w:bCs/>
          <w:sz w:val="21"/>
          <w:szCs w:val="21"/>
          <w:lang w:val="en-US" w:eastAsia="zh-CN"/>
        </w:rPr>
        <w:t>特性表</w:t>
      </w:r>
    </w:p>
    <w:tbl>
      <w:tblPr>
        <w:tblStyle w:val="220"/>
        <w:tblW w:w="5000" w:type="pct"/>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Layout w:type="autofit"/>
        <w:tblCellMar>
          <w:top w:w="0" w:type="dxa"/>
          <w:left w:w="0" w:type="dxa"/>
          <w:bottom w:w="0" w:type="dxa"/>
          <w:right w:w="0" w:type="dxa"/>
        </w:tblCellMar>
      </w:tblPr>
      <w:tblGrid>
        <w:gridCol w:w="642"/>
        <w:gridCol w:w="1271"/>
        <w:gridCol w:w="658"/>
        <w:gridCol w:w="2835"/>
        <w:gridCol w:w="2448"/>
        <w:gridCol w:w="1906"/>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892" w:hRule="exact"/>
          <w:tblHeader/>
        </w:trPr>
        <w:tc>
          <w:tcPr>
            <w:tcW w:w="329" w:type="pct"/>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名称</w:t>
            </w:r>
          </w:p>
        </w:tc>
        <w:tc>
          <w:tcPr>
            <w:tcW w:w="651" w:type="pct"/>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分子式</w:t>
            </w:r>
          </w:p>
        </w:tc>
        <w:tc>
          <w:tcPr>
            <w:tcW w:w="337" w:type="pct"/>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危险类别</w:t>
            </w:r>
          </w:p>
        </w:tc>
        <w:tc>
          <w:tcPr>
            <w:tcW w:w="1452" w:type="pct"/>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理化特性</w:t>
            </w:r>
          </w:p>
        </w:tc>
        <w:tc>
          <w:tcPr>
            <w:tcW w:w="1254" w:type="pct"/>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燃烧爆炸性</w:t>
            </w:r>
          </w:p>
        </w:tc>
        <w:tc>
          <w:tcPr>
            <w:tcW w:w="976" w:type="pct"/>
            <w:vAlign w:val="center"/>
          </w:tcPr>
          <w:p>
            <w:pPr>
              <w:autoSpaceDE w:val="0"/>
              <w:autoSpaceDN w:val="0"/>
              <w:jc w:val="center"/>
              <w:rPr>
                <w:rFonts w:eastAsia="仿宋" w:cs="Times New Roman"/>
                <w:b/>
                <w:kern w:val="0"/>
                <w:sz w:val="21"/>
                <w:szCs w:val="21"/>
                <w:lang w:eastAsia="en-US"/>
              </w:rPr>
            </w:pPr>
            <w:r>
              <w:rPr>
                <w:rFonts w:eastAsia="仿宋" w:cs="Times New Roman"/>
                <w:b/>
                <w:kern w:val="0"/>
                <w:sz w:val="21"/>
                <w:szCs w:val="21"/>
                <w:lang w:eastAsia="en-US"/>
              </w:rPr>
              <w:t>毒性毒理</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1241"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硫磺</w:t>
            </w:r>
          </w:p>
        </w:tc>
        <w:tc>
          <w:tcPr>
            <w:tcW w:w="651" w:type="pct"/>
            <w:vAlign w:val="center"/>
          </w:tcPr>
          <w:p>
            <w:pPr>
              <w:autoSpaceDE w:val="0"/>
              <w:autoSpaceDN w:val="0"/>
              <w:jc w:val="center"/>
              <w:rPr>
                <w:rFonts w:eastAsia="仿宋" w:cs="Times New Roman"/>
                <w:w w:val="83"/>
                <w:kern w:val="0"/>
                <w:sz w:val="21"/>
                <w:szCs w:val="21"/>
                <w:lang w:eastAsia="en-US"/>
              </w:rPr>
            </w:pPr>
            <w:r>
              <w:rPr>
                <w:rFonts w:eastAsia="仿宋" w:cs="Times New Roman"/>
                <w:w w:val="83"/>
                <w:kern w:val="0"/>
                <w:sz w:val="21"/>
                <w:szCs w:val="21"/>
                <w:lang w:eastAsia="en-US"/>
              </w:rPr>
              <w:t>S</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分子量：32</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易燃物质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液体硫磺，有特殊臭味，</w:t>
            </w:r>
            <w:r>
              <w:rPr>
                <w:rFonts w:eastAsia="仿宋" w:cs="Times New Roman"/>
                <w:spacing w:val="-62"/>
                <w:kern w:val="0"/>
                <w:sz w:val="21"/>
                <w:szCs w:val="21"/>
                <w:lang w:eastAsia="zh-CN"/>
              </w:rPr>
              <w:t xml:space="preserve"> </w:t>
            </w:r>
            <w:r>
              <w:rPr>
                <w:rFonts w:eastAsia="仿宋" w:cs="Times New Roman"/>
                <w:kern w:val="0"/>
                <w:sz w:val="21"/>
                <w:szCs w:val="21"/>
                <w:lang w:eastAsia="zh-CN"/>
              </w:rPr>
              <w:t>熔点</w:t>
            </w:r>
            <w:r>
              <w:rPr>
                <w:rFonts w:eastAsia="仿宋" w:cs="Times New Roman"/>
                <w:spacing w:val="-60"/>
                <w:kern w:val="0"/>
                <w:sz w:val="21"/>
                <w:szCs w:val="21"/>
                <w:lang w:eastAsia="zh-CN"/>
              </w:rPr>
              <w:t xml:space="preserve"> </w:t>
            </w:r>
            <w:r>
              <w:rPr>
                <w:rFonts w:eastAsia="仿宋" w:cs="Times New Roman"/>
                <w:spacing w:val="-3"/>
                <w:kern w:val="0"/>
                <w:sz w:val="21"/>
                <w:szCs w:val="21"/>
                <w:lang w:eastAsia="zh-CN"/>
              </w:rPr>
              <w:t>119</w:t>
            </w:r>
            <w:r>
              <w:rPr>
                <w:rFonts w:hint="eastAsia" w:ascii="宋体" w:hAnsi="宋体" w:cs="宋体"/>
                <w:spacing w:val="-3"/>
                <w:kern w:val="0"/>
                <w:sz w:val="21"/>
                <w:szCs w:val="21"/>
                <w:lang w:eastAsia="zh-CN"/>
              </w:rPr>
              <w:t>℃</w:t>
            </w:r>
            <w:r>
              <w:rPr>
                <w:rFonts w:eastAsia="仿宋" w:cs="Times New Roman"/>
                <w:spacing w:val="-3"/>
                <w:kern w:val="0"/>
                <w:sz w:val="21"/>
                <w:szCs w:val="21"/>
                <w:lang w:eastAsia="zh-CN"/>
              </w:rPr>
              <w:t>，沸点</w:t>
            </w:r>
            <w:r>
              <w:rPr>
                <w:rFonts w:eastAsia="仿宋" w:cs="Times New Roman"/>
                <w:kern w:val="0"/>
                <w:sz w:val="21"/>
                <w:szCs w:val="21"/>
                <w:lang w:eastAsia="zh-CN"/>
              </w:rPr>
              <w:t xml:space="preserve"> </w:t>
            </w:r>
            <w:r>
              <w:rPr>
                <w:rFonts w:eastAsia="仿宋" w:cs="Times New Roman"/>
                <w:spacing w:val="-4"/>
                <w:kern w:val="0"/>
                <w:sz w:val="21"/>
                <w:szCs w:val="21"/>
                <w:lang w:eastAsia="zh-CN"/>
              </w:rPr>
              <w:t>444.6</w:t>
            </w:r>
            <w:r>
              <w:rPr>
                <w:rFonts w:hint="eastAsia" w:ascii="宋体" w:hAnsi="宋体" w:cs="宋体"/>
                <w:spacing w:val="-4"/>
                <w:kern w:val="0"/>
                <w:sz w:val="21"/>
                <w:szCs w:val="21"/>
                <w:lang w:eastAsia="zh-CN"/>
              </w:rPr>
              <w:t>℃</w:t>
            </w:r>
            <w:r>
              <w:rPr>
                <w:rFonts w:eastAsia="仿宋" w:cs="Times New Roman"/>
                <w:spacing w:val="-4"/>
                <w:kern w:val="0"/>
                <w:sz w:val="21"/>
                <w:szCs w:val="21"/>
                <w:lang w:eastAsia="zh-CN"/>
              </w:rPr>
              <w:t>，不溶于水，微溶干乙醇、醚，易溶于</w:t>
            </w:r>
            <w:r>
              <w:rPr>
                <w:rFonts w:eastAsia="仿宋" w:cs="Times New Roman"/>
                <w:kern w:val="0"/>
                <w:sz w:val="21"/>
                <w:szCs w:val="21"/>
                <w:lang w:eastAsia="zh-CN"/>
              </w:rPr>
              <w:t>二硫化碳。</w:t>
            </w:r>
          </w:p>
        </w:tc>
        <w:tc>
          <w:tcPr>
            <w:tcW w:w="1254"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遇明火、高热易燃。</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低毒类</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1918"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二氧化硫</w:t>
            </w:r>
          </w:p>
        </w:tc>
        <w:tc>
          <w:tcPr>
            <w:tcW w:w="651" w:type="pct"/>
            <w:vAlign w:val="center"/>
          </w:tcPr>
          <w:p>
            <w:pPr>
              <w:autoSpaceDE w:val="0"/>
              <w:autoSpaceDN w:val="0"/>
              <w:jc w:val="center"/>
              <w:rPr>
                <w:rFonts w:eastAsia="仿宋" w:cs="Times New Roman"/>
                <w:kern w:val="0"/>
                <w:position w:val="-2"/>
                <w:sz w:val="21"/>
                <w:szCs w:val="21"/>
                <w:lang w:eastAsia="en-US"/>
              </w:rPr>
            </w:pPr>
            <w:r>
              <w:rPr>
                <w:rFonts w:eastAsia="仿宋" w:cs="Times New Roman"/>
                <w:kern w:val="0"/>
                <w:sz w:val="21"/>
                <w:szCs w:val="21"/>
                <w:lang w:eastAsia="en-US"/>
              </w:rPr>
              <w:t>SO</w:t>
            </w:r>
            <w:r>
              <w:rPr>
                <w:rFonts w:eastAsia="仿宋" w:cs="Times New Roman"/>
                <w:kern w:val="0"/>
                <w:position w:val="-2"/>
                <w:sz w:val="21"/>
                <w:szCs w:val="21"/>
                <w:vertAlign w:val="subscript"/>
                <w:lang w:eastAsia="en-US"/>
              </w:rPr>
              <w:t>2</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分子量：64</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有毒物质</w:t>
            </w:r>
          </w:p>
        </w:tc>
        <w:tc>
          <w:tcPr>
            <w:tcW w:w="1452"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zh-CN"/>
              </w:rPr>
              <w:t>无色有强烈刺激性的窒息性恶臭气体。极易液</w:t>
            </w:r>
            <w:r>
              <w:rPr>
                <w:rFonts w:eastAsia="仿宋" w:cs="Times New Roman"/>
                <w:spacing w:val="-90"/>
                <w:kern w:val="0"/>
                <w:sz w:val="21"/>
                <w:szCs w:val="21"/>
                <w:lang w:eastAsia="zh-CN"/>
              </w:rPr>
              <w:t xml:space="preserve"> </w:t>
            </w:r>
            <w:r>
              <w:rPr>
                <w:rFonts w:eastAsia="仿宋" w:cs="Times New Roman"/>
                <w:spacing w:val="-5"/>
                <w:kern w:val="0"/>
                <w:sz w:val="21"/>
                <w:szCs w:val="21"/>
                <w:lang w:eastAsia="zh-CN"/>
              </w:rPr>
              <w:t>化。-10</w:t>
            </w:r>
            <w:r>
              <w:rPr>
                <w:rFonts w:hint="eastAsia" w:ascii="宋体" w:hAnsi="宋体" w:cs="宋体"/>
                <w:spacing w:val="-5"/>
                <w:kern w:val="0"/>
                <w:sz w:val="21"/>
                <w:szCs w:val="21"/>
                <w:lang w:eastAsia="zh-CN"/>
              </w:rPr>
              <w:t>℃</w:t>
            </w:r>
            <w:r>
              <w:rPr>
                <w:rFonts w:eastAsia="仿宋" w:cs="Times New Roman"/>
                <w:spacing w:val="-5"/>
                <w:kern w:val="0"/>
                <w:sz w:val="21"/>
                <w:szCs w:val="21"/>
                <w:lang w:eastAsia="zh-CN"/>
              </w:rPr>
              <w:t>时在常压下是一种无色液体。有水分</w:t>
            </w:r>
            <w:r>
              <w:rPr>
                <w:rFonts w:eastAsia="仿宋" w:cs="Times New Roman"/>
                <w:spacing w:val="-84"/>
                <w:kern w:val="0"/>
                <w:sz w:val="21"/>
                <w:szCs w:val="21"/>
                <w:lang w:eastAsia="zh-CN"/>
              </w:rPr>
              <w:t xml:space="preserve"> </w:t>
            </w:r>
            <w:r>
              <w:rPr>
                <w:rFonts w:eastAsia="仿宋" w:cs="Times New Roman"/>
                <w:kern w:val="0"/>
                <w:sz w:val="21"/>
                <w:szCs w:val="21"/>
                <w:lang w:eastAsia="zh-CN"/>
              </w:rPr>
              <w:t>存在时呈现还原作用。相对密度</w:t>
            </w:r>
            <w:r>
              <w:rPr>
                <w:rFonts w:eastAsia="仿宋" w:cs="Times New Roman"/>
                <w:spacing w:val="-48"/>
                <w:kern w:val="0"/>
                <w:sz w:val="21"/>
                <w:szCs w:val="21"/>
                <w:lang w:eastAsia="zh-CN"/>
              </w:rPr>
              <w:t xml:space="preserve"> </w:t>
            </w:r>
            <w:r>
              <w:rPr>
                <w:rFonts w:eastAsia="仿宋" w:cs="Times New Roman"/>
                <w:spacing w:val="-14"/>
                <w:kern w:val="0"/>
                <w:sz w:val="21"/>
                <w:szCs w:val="21"/>
                <w:lang w:eastAsia="zh-CN"/>
              </w:rPr>
              <w:t>1.5（液体）。</w:t>
            </w:r>
            <w:r>
              <w:rPr>
                <w:rFonts w:eastAsia="仿宋" w:cs="Times New Roman"/>
                <w:kern w:val="0"/>
                <w:sz w:val="21"/>
                <w:szCs w:val="21"/>
                <w:lang w:eastAsia="zh-CN"/>
              </w:rPr>
              <w:t xml:space="preserve"> </w:t>
            </w:r>
            <w:r>
              <w:rPr>
                <w:rFonts w:eastAsia="仿宋" w:cs="Times New Roman"/>
                <w:spacing w:val="-5"/>
                <w:kern w:val="0"/>
                <w:sz w:val="21"/>
                <w:szCs w:val="21"/>
                <w:lang w:eastAsia="zh-CN"/>
              </w:rPr>
              <w:t>熔点-72</w:t>
            </w:r>
            <w:r>
              <w:rPr>
                <w:rFonts w:hint="eastAsia" w:ascii="宋体" w:hAnsi="宋体" w:cs="宋体"/>
                <w:spacing w:val="-5"/>
                <w:kern w:val="0"/>
                <w:sz w:val="21"/>
                <w:szCs w:val="21"/>
                <w:lang w:eastAsia="zh-CN"/>
              </w:rPr>
              <w:t>℃</w:t>
            </w:r>
            <w:r>
              <w:rPr>
                <w:rFonts w:eastAsia="仿宋" w:cs="Times New Roman"/>
                <w:spacing w:val="-5"/>
                <w:kern w:val="0"/>
                <w:sz w:val="21"/>
                <w:szCs w:val="21"/>
                <w:lang w:eastAsia="zh-CN"/>
              </w:rPr>
              <w:t>。沸点-10</w:t>
            </w:r>
            <w:r>
              <w:rPr>
                <w:rFonts w:hint="eastAsia" w:ascii="宋体" w:hAnsi="宋体" w:cs="宋体"/>
                <w:spacing w:val="-5"/>
                <w:kern w:val="0"/>
                <w:sz w:val="21"/>
                <w:szCs w:val="21"/>
                <w:lang w:eastAsia="zh-CN"/>
              </w:rPr>
              <w:t>℃</w:t>
            </w:r>
            <w:r>
              <w:rPr>
                <w:rFonts w:eastAsia="仿宋" w:cs="Times New Roman"/>
                <w:spacing w:val="-5"/>
                <w:kern w:val="0"/>
                <w:sz w:val="21"/>
                <w:szCs w:val="21"/>
                <w:lang w:eastAsia="zh-CN"/>
              </w:rPr>
              <w:t>。临界温度</w:t>
            </w:r>
            <w:r>
              <w:rPr>
                <w:rFonts w:eastAsia="仿宋" w:cs="Times New Roman"/>
                <w:spacing w:val="-65"/>
                <w:kern w:val="0"/>
                <w:sz w:val="21"/>
                <w:szCs w:val="21"/>
                <w:lang w:eastAsia="zh-CN"/>
              </w:rPr>
              <w:t xml:space="preserve"> </w:t>
            </w:r>
            <w:r>
              <w:rPr>
                <w:rFonts w:eastAsia="仿宋" w:cs="Times New Roman"/>
                <w:spacing w:val="-6"/>
                <w:kern w:val="0"/>
                <w:sz w:val="21"/>
                <w:szCs w:val="21"/>
                <w:lang w:eastAsia="zh-CN"/>
              </w:rPr>
              <w:t>152</w:t>
            </w:r>
            <w:r>
              <w:rPr>
                <w:rFonts w:hint="eastAsia" w:ascii="宋体" w:hAnsi="宋体" w:cs="宋体"/>
                <w:spacing w:val="-6"/>
                <w:kern w:val="0"/>
                <w:sz w:val="21"/>
                <w:szCs w:val="21"/>
                <w:lang w:eastAsia="zh-CN"/>
              </w:rPr>
              <w:t>℃</w:t>
            </w:r>
            <w:r>
              <w:rPr>
                <w:rFonts w:eastAsia="仿宋" w:cs="Times New Roman"/>
                <w:spacing w:val="-6"/>
                <w:kern w:val="0"/>
                <w:sz w:val="21"/>
                <w:szCs w:val="21"/>
                <w:lang w:eastAsia="zh-CN"/>
              </w:rPr>
              <w:t>，临界</w:t>
            </w:r>
            <w:r>
              <w:rPr>
                <w:rFonts w:eastAsia="仿宋" w:cs="Times New Roman"/>
                <w:kern w:val="0"/>
                <w:sz w:val="21"/>
                <w:szCs w:val="21"/>
                <w:lang w:eastAsia="zh-CN"/>
              </w:rPr>
              <w:t xml:space="preserve"> </w:t>
            </w:r>
            <w:r>
              <w:rPr>
                <w:rFonts w:eastAsia="仿宋" w:cs="Times New Roman"/>
                <w:w w:val="95"/>
                <w:kern w:val="0"/>
                <w:sz w:val="21"/>
                <w:szCs w:val="21"/>
                <w:lang w:eastAsia="zh-CN"/>
              </w:rPr>
              <w:t>压力</w:t>
            </w:r>
            <w:r>
              <w:rPr>
                <w:rFonts w:eastAsia="仿宋" w:cs="Times New Roman"/>
                <w:spacing w:val="-14"/>
                <w:w w:val="95"/>
                <w:kern w:val="0"/>
                <w:sz w:val="21"/>
                <w:szCs w:val="21"/>
                <w:lang w:eastAsia="zh-CN"/>
              </w:rPr>
              <w:t xml:space="preserve"> </w:t>
            </w:r>
            <w:r>
              <w:rPr>
                <w:rFonts w:eastAsia="仿宋" w:cs="Times New Roman"/>
                <w:w w:val="95"/>
                <w:kern w:val="0"/>
                <w:sz w:val="21"/>
                <w:szCs w:val="21"/>
                <w:lang w:eastAsia="zh-CN"/>
              </w:rPr>
              <w:t>7.8*106Pa。蒸气压</w:t>
            </w:r>
            <w:r>
              <w:rPr>
                <w:rFonts w:eastAsia="仿宋" w:cs="Times New Roman"/>
                <w:spacing w:val="-16"/>
                <w:w w:val="95"/>
                <w:kern w:val="0"/>
                <w:sz w:val="21"/>
                <w:szCs w:val="21"/>
                <w:lang w:eastAsia="zh-CN"/>
              </w:rPr>
              <w:t xml:space="preserve"> </w:t>
            </w:r>
            <w:r>
              <w:rPr>
                <w:rFonts w:eastAsia="仿宋" w:cs="Times New Roman"/>
                <w:spacing w:val="-8"/>
                <w:w w:val="95"/>
                <w:kern w:val="0"/>
                <w:sz w:val="21"/>
                <w:szCs w:val="21"/>
                <w:lang w:eastAsia="zh-CN"/>
              </w:rPr>
              <w:t>338.3kPa（21.1</w:t>
            </w:r>
            <w:r>
              <w:rPr>
                <w:rFonts w:hint="eastAsia" w:ascii="宋体" w:hAnsi="宋体" w:cs="宋体"/>
                <w:spacing w:val="-8"/>
                <w:w w:val="95"/>
                <w:kern w:val="0"/>
                <w:sz w:val="21"/>
                <w:szCs w:val="21"/>
                <w:lang w:eastAsia="zh-CN"/>
              </w:rPr>
              <w:t>℃</w:t>
            </w:r>
            <w:r>
              <w:rPr>
                <w:rFonts w:eastAsia="仿宋" w:cs="Times New Roman"/>
                <w:spacing w:val="-8"/>
                <w:w w:val="95"/>
                <w:kern w:val="0"/>
                <w:sz w:val="21"/>
                <w:szCs w:val="21"/>
                <w:lang w:eastAsia="zh-CN"/>
              </w:rPr>
              <w:t>），</w:t>
            </w:r>
            <w:r>
              <w:rPr>
                <w:rFonts w:eastAsia="仿宋" w:cs="Times New Roman"/>
                <w:spacing w:val="-96"/>
                <w:w w:val="95"/>
                <w:kern w:val="0"/>
                <w:sz w:val="21"/>
                <w:szCs w:val="21"/>
                <w:lang w:eastAsia="zh-CN"/>
              </w:rPr>
              <w:t xml:space="preserve"> </w:t>
            </w:r>
            <w:r>
              <w:rPr>
                <w:rFonts w:eastAsia="仿宋" w:cs="Times New Roman"/>
                <w:kern w:val="0"/>
                <w:sz w:val="21"/>
                <w:szCs w:val="21"/>
                <w:lang w:eastAsia="zh-CN"/>
              </w:rPr>
              <w:t>蒸气相对密度</w:t>
            </w:r>
            <w:r>
              <w:rPr>
                <w:rFonts w:eastAsia="仿宋" w:cs="Times New Roman"/>
                <w:spacing w:val="-59"/>
                <w:kern w:val="0"/>
                <w:sz w:val="21"/>
                <w:szCs w:val="21"/>
                <w:lang w:eastAsia="zh-CN"/>
              </w:rPr>
              <w:t xml:space="preserve"> </w:t>
            </w:r>
            <w:r>
              <w:rPr>
                <w:rFonts w:eastAsia="仿宋" w:cs="Times New Roman"/>
                <w:spacing w:val="-19"/>
                <w:kern w:val="0"/>
                <w:sz w:val="21"/>
                <w:szCs w:val="21"/>
                <w:lang w:eastAsia="zh-CN"/>
              </w:rPr>
              <w:t>2.3（0</w:t>
            </w:r>
            <w:r>
              <w:rPr>
                <w:rFonts w:hint="eastAsia" w:ascii="宋体" w:hAnsi="宋体" w:cs="宋体"/>
                <w:spacing w:val="-19"/>
                <w:kern w:val="0"/>
                <w:sz w:val="21"/>
                <w:szCs w:val="21"/>
                <w:lang w:eastAsia="zh-CN"/>
              </w:rPr>
              <w:t>℃</w:t>
            </w:r>
            <w:r>
              <w:rPr>
                <w:rFonts w:eastAsia="仿宋" w:cs="Times New Roman"/>
                <w:spacing w:val="-19"/>
                <w:kern w:val="0"/>
                <w:sz w:val="21"/>
                <w:szCs w:val="21"/>
                <w:lang w:eastAsia="zh-CN"/>
              </w:rPr>
              <w:t>）。</w:t>
            </w:r>
            <w:r>
              <w:rPr>
                <w:rFonts w:eastAsia="仿宋" w:cs="Times New Roman"/>
                <w:spacing w:val="-19"/>
                <w:kern w:val="0"/>
                <w:sz w:val="21"/>
                <w:szCs w:val="21"/>
                <w:lang w:eastAsia="en-US"/>
              </w:rPr>
              <w:t>溶于水、硫酸、乙酸、</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醇、氯仿和醚等。</w:t>
            </w:r>
          </w:p>
        </w:tc>
        <w:tc>
          <w:tcPr>
            <w:tcW w:w="1254"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本品不燃，有毒，具强刺激性。</w:t>
            </w:r>
          </w:p>
        </w:tc>
        <w:tc>
          <w:tcPr>
            <w:tcW w:w="976"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 xml:space="preserve">LD50：无资料。 </w:t>
            </w:r>
            <w:r>
              <w:rPr>
                <w:rFonts w:eastAsia="仿宋" w:cs="Times New Roman"/>
                <w:w w:val="90"/>
                <w:kern w:val="0"/>
                <w:sz w:val="21"/>
                <w:szCs w:val="21"/>
                <w:lang w:eastAsia="zh-CN"/>
              </w:rPr>
              <w:t>LC50：6600mg/m</w:t>
            </w:r>
            <w:r>
              <w:rPr>
                <w:rFonts w:eastAsia="仿宋" w:cs="Times New Roman"/>
                <w:w w:val="90"/>
                <w:kern w:val="0"/>
                <w:position w:val="10"/>
                <w:sz w:val="21"/>
                <w:szCs w:val="21"/>
                <w:lang w:eastAsia="zh-CN"/>
              </w:rPr>
              <w:t>3</w:t>
            </w:r>
            <w:r>
              <w:rPr>
                <w:rFonts w:eastAsia="仿宋" w:cs="Times New Roman"/>
                <w:w w:val="90"/>
                <w:kern w:val="0"/>
                <w:sz w:val="21"/>
                <w:szCs w:val="21"/>
                <w:lang w:eastAsia="zh-CN"/>
              </w:rPr>
              <w:t>，</w:t>
            </w:r>
            <w:r>
              <w:rPr>
                <w:rFonts w:eastAsia="仿宋" w:cs="Times New Roman"/>
                <w:kern w:val="0"/>
                <w:sz w:val="21"/>
                <w:szCs w:val="21"/>
                <w:lang w:eastAsia="zh-CN"/>
              </w:rPr>
              <w:t xml:space="preserve"> 1</w:t>
            </w:r>
            <w:r>
              <w:rPr>
                <w:rFonts w:eastAsia="仿宋" w:cs="Times New Roman"/>
                <w:spacing w:val="-19"/>
                <w:kern w:val="0"/>
                <w:sz w:val="21"/>
                <w:szCs w:val="21"/>
                <w:lang w:eastAsia="zh-CN"/>
              </w:rPr>
              <w:t xml:space="preserve"> </w:t>
            </w:r>
            <w:r>
              <w:rPr>
                <w:rFonts w:eastAsia="仿宋" w:cs="Times New Roman"/>
                <w:kern w:val="0"/>
                <w:sz w:val="21"/>
                <w:szCs w:val="21"/>
                <w:lang w:eastAsia="zh-CN"/>
              </w:rPr>
              <w:t>小时(大鼠吸入)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2549"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三氧化硫</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SO</w:t>
            </w:r>
            <w:r>
              <w:rPr>
                <w:rFonts w:eastAsia="仿宋" w:cs="Times New Roman"/>
                <w:kern w:val="0"/>
                <w:position w:val="-2"/>
                <w:sz w:val="21"/>
                <w:szCs w:val="21"/>
                <w:vertAlign w:val="subscript"/>
                <w:lang w:eastAsia="en-US"/>
              </w:rPr>
              <w:t>3</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分子量：80</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腐蚀性物质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针状固体或液体，有刺激性气味液体。相对密</w:t>
            </w:r>
            <w:r>
              <w:rPr>
                <w:rFonts w:eastAsia="仿宋" w:cs="Times New Roman"/>
                <w:spacing w:val="-90"/>
                <w:kern w:val="0"/>
                <w:sz w:val="21"/>
                <w:szCs w:val="21"/>
                <w:lang w:eastAsia="zh-CN"/>
              </w:rPr>
              <w:t xml:space="preserve"> </w:t>
            </w:r>
            <w:r>
              <w:rPr>
                <w:rFonts w:eastAsia="仿宋" w:cs="Times New Roman"/>
                <w:w w:val="95"/>
                <w:kern w:val="0"/>
                <w:sz w:val="21"/>
                <w:szCs w:val="21"/>
                <w:lang w:eastAsia="zh-CN"/>
              </w:rPr>
              <w:t xml:space="preserve">度 </w:t>
            </w:r>
            <w:r>
              <w:rPr>
                <w:rFonts w:eastAsia="仿宋" w:cs="Times New Roman"/>
                <w:spacing w:val="-9"/>
                <w:w w:val="95"/>
                <w:kern w:val="0"/>
                <w:sz w:val="21"/>
                <w:szCs w:val="21"/>
                <w:lang w:eastAsia="zh-CN"/>
              </w:rPr>
              <w:t>2.75，1.97（20</w:t>
            </w:r>
            <w:r>
              <w:rPr>
                <w:rFonts w:hint="eastAsia" w:ascii="宋体" w:hAnsi="宋体" w:cs="宋体"/>
                <w:spacing w:val="-9"/>
                <w:w w:val="95"/>
                <w:kern w:val="0"/>
                <w:sz w:val="21"/>
                <w:szCs w:val="21"/>
                <w:lang w:eastAsia="zh-CN"/>
              </w:rPr>
              <w:t>℃</w:t>
            </w:r>
            <w:r>
              <w:rPr>
                <w:rFonts w:eastAsia="仿宋" w:cs="Times New Roman"/>
                <w:spacing w:val="-9"/>
                <w:w w:val="95"/>
                <w:kern w:val="0"/>
                <w:sz w:val="21"/>
                <w:szCs w:val="21"/>
                <w:lang w:eastAsia="zh-CN"/>
              </w:rPr>
              <w:t xml:space="preserve">液体）。熔点 </w:t>
            </w:r>
            <w:r>
              <w:rPr>
                <w:rFonts w:eastAsia="仿宋" w:cs="Times New Roman"/>
                <w:spacing w:val="-3"/>
                <w:w w:val="95"/>
                <w:kern w:val="0"/>
                <w:sz w:val="21"/>
                <w:szCs w:val="21"/>
                <w:lang w:eastAsia="zh-CN"/>
              </w:rPr>
              <w:t>16.8</w:t>
            </w:r>
            <w:r>
              <w:rPr>
                <w:rFonts w:hint="eastAsia" w:ascii="宋体" w:hAnsi="宋体" w:cs="宋体"/>
                <w:spacing w:val="-3"/>
                <w:w w:val="95"/>
                <w:kern w:val="0"/>
                <w:sz w:val="21"/>
                <w:szCs w:val="21"/>
                <w:lang w:eastAsia="zh-CN"/>
              </w:rPr>
              <w:t>℃</w:t>
            </w:r>
            <w:r>
              <w:rPr>
                <w:rFonts w:eastAsia="仿宋" w:cs="Times New Roman"/>
                <w:spacing w:val="-3"/>
                <w:w w:val="95"/>
                <w:kern w:val="0"/>
                <w:sz w:val="21"/>
                <w:szCs w:val="21"/>
                <w:lang w:eastAsia="zh-CN"/>
              </w:rPr>
              <w:t>。沸点</w:t>
            </w:r>
            <w:r>
              <w:rPr>
                <w:rFonts w:eastAsia="仿宋" w:cs="Times New Roman"/>
                <w:spacing w:val="-73"/>
                <w:w w:val="95"/>
                <w:kern w:val="0"/>
                <w:sz w:val="21"/>
                <w:szCs w:val="21"/>
                <w:lang w:eastAsia="zh-CN"/>
              </w:rPr>
              <w:t xml:space="preserve"> </w:t>
            </w:r>
            <w:r>
              <w:rPr>
                <w:rFonts w:eastAsia="仿宋" w:cs="Times New Roman"/>
                <w:w w:val="95"/>
                <w:kern w:val="0"/>
                <w:sz w:val="21"/>
                <w:szCs w:val="21"/>
                <w:lang w:eastAsia="zh-CN"/>
              </w:rPr>
              <w:t>44.8</w:t>
            </w:r>
            <w:r>
              <w:rPr>
                <w:rFonts w:hint="eastAsia" w:ascii="宋体" w:hAnsi="宋体" w:cs="宋体"/>
                <w:w w:val="95"/>
                <w:kern w:val="0"/>
                <w:sz w:val="21"/>
                <w:szCs w:val="21"/>
                <w:lang w:eastAsia="zh-CN"/>
              </w:rPr>
              <w:t>℃</w:t>
            </w:r>
            <w:r>
              <w:rPr>
                <w:rFonts w:eastAsia="仿宋" w:cs="Times New Roman"/>
                <w:w w:val="95"/>
                <w:kern w:val="0"/>
                <w:sz w:val="21"/>
                <w:szCs w:val="21"/>
                <w:lang w:eastAsia="zh-CN"/>
              </w:rPr>
              <w:t>。蒸气压</w:t>
            </w:r>
            <w:r>
              <w:rPr>
                <w:rFonts w:eastAsia="仿宋" w:cs="Times New Roman"/>
                <w:spacing w:val="-57"/>
                <w:w w:val="95"/>
                <w:kern w:val="0"/>
                <w:sz w:val="21"/>
                <w:szCs w:val="21"/>
                <w:lang w:eastAsia="zh-CN"/>
              </w:rPr>
              <w:t xml:space="preserve"> </w:t>
            </w:r>
            <w:r>
              <w:rPr>
                <w:rFonts w:eastAsia="仿宋" w:cs="Times New Roman"/>
                <w:w w:val="95"/>
                <w:kern w:val="0"/>
                <w:sz w:val="21"/>
                <w:szCs w:val="21"/>
                <w:lang w:eastAsia="zh-CN"/>
              </w:rPr>
              <w:t>37.32kPa(25</w:t>
            </w:r>
            <w:r>
              <w:rPr>
                <w:rFonts w:hint="eastAsia" w:ascii="宋体" w:hAnsi="宋体" w:cs="宋体"/>
                <w:w w:val="95"/>
                <w:kern w:val="0"/>
                <w:sz w:val="21"/>
                <w:szCs w:val="21"/>
                <w:lang w:eastAsia="zh-CN"/>
              </w:rPr>
              <w:t>℃</w:t>
            </w:r>
            <w:r>
              <w:rPr>
                <w:rFonts w:eastAsia="仿宋" w:cs="Times New Roman"/>
                <w:w w:val="95"/>
                <w:kern w:val="0"/>
                <w:sz w:val="21"/>
                <w:szCs w:val="21"/>
                <w:lang w:eastAsia="zh-CN"/>
              </w:rPr>
              <w:t>)。</w:t>
            </w:r>
          </w:p>
        </w:tc>
        <w:tc>
          <w:tcPr>
            <w:tcW w:w="1254" w:type="pct"/>
            <w:vAlign w:val="center"/>
          </w:tcPr>
          <w:p>
            <w:pPr>
              <w:autoSpaceDE w:val="0"/>
              <w:autoSpaceDN w:val="0"/>
              <w:jc w:val="center"/>
              <w:rPr>
                <w:rFonts w:eastAsia="仿宋" w:cs="Times New Roman"/>
                <w:kern w:val="0"/>
                <w:sz w:val="21"/>
                <w:szCs w:val="21"/>
                <w:lang w:eastAsia="en-US"/>
              </w:rPr>
            </w:pPr>
            <w:r>
              <w:rPr>
                <w:rFonts w:eastAsia="仿宋" w:cs="Times New Roman"/>
                <w:spacing w:val="3"/>
                <w:kern w:val="0"/>
                <w:sz w:val="21"/>
                <w:szCs w:val="21"/>
                <w:lang w:eastAsia="zh-CN"/>
              </w:rPr>
              <w:t>本品不燃，具强腐蚀性、强刺激性，可</w:t>
            </w:r>
            <w:r>
              <w:rPr>
                <w:rFonts w:eastAsia="仿宋" w:cs="Times New Roman"/>
                <w:spacing w:val="-72"/>
                <w:kern w:val="0"/>
                <w:sz w:val="21"/>
                <w:szCs w:val="21"/>
                <w:lang w:eastAsia="zh-CN"/>
              </w:rPr>
              <w:t xml:space="preserve"> </w:t>
            </w:r>
            <w:r>
              <w:rPr>
                <w:rFonts w:eastAsia="仿宋" w:cs="Times New Roman"/>
                <w:spacing w:val="-3"/>
                <w:kern w:val="0"/>
                <w:sz w:val="21"/>
                <w:szCs w:val="21"/>
                <w:lang w:eastAsia="zh-CN"/>
              </w:rPr>
              <w:t>致人体灼伤。与水发生爆炸性剧烈反应。</w:t>
            </w:r>
            <w:r>
              <w:rPr>
                <w:rFonts w:eastAsia="仿宋" w:cs="Times New Roman"/>
                <w:spacing w:val="-72"/>
                <w:kern w:val="0"/>
                <w:sz w:val="21"/>
                <w:szCs w:val="21"/>
                <w:lang w:eastAsia="zh-CN"/>
              </w:rPr>
              <w:t xml:space="preserve"> </w:t>
            </w:r>
            <w:r>
              <w:rPr>
                <w:rFonts w:eastAsia="仿宋" w:cs="Times New Roman"/>
                <w:spacing w:val="3"/>
                <w:kern w:val="0"/>
                <w:sz w:val="21"/>
                <w:szCs w:val="21"/>
                <w:lang w:eastAsia="zh-CN"/>
              </w:rPr>
              <w:t>与氧气、氟、氧化铅、次亚氯酸、过氯</w:t>
            </w:r>
            <w:r>
              <w:rPr>
                <w:rFonts w:eastAsia="仿宋" w:cs="Times New Roman"/>
                <w:spacing w:val="-72"/>
                <w:kern w:val="0"/>
                <w:sz w:val="21"/>
                <w:szCs w:val="21"/>
                <w:lang w:eastAsia="zh-CN"/>
              </w:rPr>
              <w:t xml:space="preserve"> </w:t>
            </w:r>
            <w:r>
              <w:rPr>
                <w:rFonts w:eastAsia="仿宋" w:cs="Times New Roman"/>
                <w:spacing w:val="3"/>
                <w:kern w:val="0"/>
                <w:sz w:val="21"/>
                <w:szCs w:val="21"/>
                <w:lang w:eastAsia="zh-CN"/>
              </w:rPr>
              <w:t>酸、磷、四氟乙烯等接触剧烈反应。与</w:t>
            </w:r>
            <w:r>
              <w:rPr>
                <w:rFonts w:eastAsia="仿宋" w:cs="Times New Roman"/>
                <w:spacing w:val="-72"/>
                <w:kern w:val="0"/>
                <w:sz w:val="21"/>
                <w:szCs w:val="21"/>
                <w:lang w:eastAsia="zh-CN"/>
              </w:rPr>
              <w:t xml:space="preserve"> </w:t>
            </w:r>
            <w:r>
              <w:rPr>
                <w:rFonts w:eastAsia="仿宋" w:cs="Times New Roman"/>
                <w:spacing w:val="-3"/>
                <w:kern w:val="0"/>
                <w:sz w:val="21"/>
                <w:szCs w:val="21"/>
                <w:lang w:eastAsia="zh-CN"/>
              </w:rPr>
              <w:t>有机材料如木、棉花或草接触，会着火。</w:t>
            </w:r>
            <w:r>
              <w:rPr>
                <w:rFonts w:eastAsia="仿宋" w:cs="Times New Roman"/>
                <w:spacing w:val="-71"/>
                <w:kern w:val="0"/>
                <w:sz w:val="21"/>
                <w:szCs w:val="21"/>
                <w:lang w:eastAsia="zh-CN"/>
              </w:rPr>
              <w:t xml:space="preserve"> </w:t>
            </w:r>
            <w:r>
              <w:rPr>
                <w:rFonts w:eastAsia="仿宋" w:cs="Times New Roman"/>
                <w:spacing w:val="-3"/>
                <w:kern w:val="0"/>
                <w:sz w:val="21"/>
                <w:szCs w:val="21"/>
                <w:lang w:eastAsia="zh-CN"/>
              </w:rPr>
              <w:t>吸湿性极强，在空气中产生有毒的白烟。</w:t>
            </w:r>
            <w:r>
              <w:rPr>
                <w:rFonts w:eastAsia="仿宋" w:cs="Times New Roman"/>
                <w:spacing w:val="-72"/>
                <w:kern w:val="0"/>
                <w:sz w:val="21"/>
                <w:szCs w:val="21"/>
                <w:lang w:eastAsia="zh-CN"/>
              </w:rPr>
              <w:t xml:space="preserve"> </w:t>
            </w:r>
            <w:r>
              <w:rPr>
                <w:rFonts w:eastAsia="仿宋" w:cs="Times New Roman"/>
                <w:kern w:val="0"/>
                <w:sz w:val="21"/>
                <w:szCs w:val="21"/>
                <w:lang w:eastAsia="en-US"/>
              </w:rPr>
              <w:t>遇潮时对大多数金属有强腐蚀性。</w:t>
            </w:r>
          </w:p>
        </w:tc>
        <w:tc>
          <w:tcPr>
            <w:tcW w:w="976"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其毒性表现与硫酸 同。对皮肤、粘膜 等组织有强烈的刺 激和腐蚀作用。</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3819"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硫酸</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H</w:t>
            </w:r>
            <w:r>
              <w:rPr>
                <w:rFonts w:eastAsia="仿宋" w:cs="Times New Roman"/>
                <w:kern w:val="0"/>
                <w:position w:val="-2"/>
                <w:sz w:val="21"/>
                <w:szCs w:val="21"/>
                <w:vertAlign w:val="subscript"/>
                <w:lang w:eastAsia="en-US"/>
              </w:rPr>
              <w:t>2</w:t>
            </w:r>
            <w:r>
              <w:rPr>
                <w:rFonts w:eastAsia="仿宋" w:cs="Times New Roman"/>
                <w:kern w:val="0"/>
                <w:sz w:val="21"/>
                <w:szCs w:val="21"/>
                <w:lang w:eastAsia="en-US"/>
              </w:rPr>
              <w:t>SO</w:t>
            </w:r>
            <w:r>
              <w:rPr>
                <w:rFonts w:eastAsia="仿宋" w:cs="Times New Roman"/>
                <w:kern w:val="0"/>
                <w:position w:val="-2"/>
                <w:sz w:val="21"/>
                <w:szCs w:val="21"/>
                <w:vertAlign w:val="subscript"/>
                <w:lang w:eastAsia="en-US"/>
              </w:rPr>
              <w:t>4</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分子量：98</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腐蚀性物质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无色无臭透明粘稠的油状液体，强腐蚀性。相</w:t>
            </w:r>
            <w:r>
              <w:rPr>
                <w:rFonts w:eastAsia="仿宋" w:cs="Times New Roman"/>
                <w:spacing w:val="-90"/>
                <w:kern w:val="0"/>
                <w:sz w:val="21"/>
                <w:szCs w:val="21"/>
                <w:lang w:eastAsia="zh-CN"/>
              </w:rPr>
              <w:t xml:space="preserve"> </w:t>
            </w:r>
            <w:r>
              <w:rPr>
                <w:rFonts w:eastAsia="仿宋" w:cs="Times New Roman"/>
                <w:w w:val="95"/>
                <w:kern w:val="0"/>
                <w:sz w:val="21"/>
                <w:szCs w:val="21"/>
                <w:lang w:eastAsia="zh-CN"/>
              </w:rPr>
              <w:t>对密度</w:t>
            </w:r>
            <w:r>
              <w:rPr>
                <w:rFonts w:eastAsia="仿宋" w:cs="Times New Roman"/>
                <w:spacing w:val="-12"/>
                <w:w w:val="95"/>
                <w:kern w:val="0"/>
                <w:sz w:val="21"/>
                <w:szCs w:val="21"/>
                <w:lang w:eastAsia="zh-CN"/>
              </w:rPr>
              <w:t xml:space="preserve"> </w:t>
            </w:r>
            <w:r>
              <w:rPr>
                <w:rFonts w:eastAsia="仿宋" w:cs="Times New Roman"/>
                <w:w w:val="95"/>
                <w:kern w:val="0"/>
                <w:sz w:val="21"/>
                <w:szCs w:val="21"/>
                <w:lang w:eastAsia="zh-CN"/>
              </w:rPr>
              <w:t>1.834。熔点</w:t>
            </w:r>
            <w:r>
              <w:rPr>
                <w:rFonts w:eastAsia="仿宋" w:cs="Times New Roman"/>
                <w:spacing w:val="-12"/>
                <w:w w:val="95"/>
                <w:kern w:val="0"/>
                <w:sz w:val="21"/>
                <w:szCs w:val="21"/>
                <w:lang w:eastAsia="zh-CN"/>
              </w:rPr>
              <w:t xml:space="preserve"> </w:t>
            </w:r>
            <w:r>
              <w:rPr>
                <w:rFonts w:eastAsia="仿宋" w:cs="Times New Roman"/>
                <w:w w:val="95"/>
                <w:kern w:val="0"/>
                <w:sz w:val="21"/>
                <w:szCs w:val="21"/>
                <w:lang w:eastAsia="zh-CN"/>
              </w:rPr>
              <w:t>10.49</w:t>
            </w:r>
            <w:r>
              <w:rPr>
                <w:rFonts w:hint="eastAsia" w:ascii="宋体" w:hAnsi="宋体" w:cs="宋体"/>
                <w:w w:val="95"/>
                <w:kern w:val="0"/>
                <w:sz w:val="21"/>
                <w:szCs w:val="21"/>
                <w:lang w:eastAsia="zh-CN"/>
              </w:rPr>
              <w:t>℃</w:t>
            </w:r>
            <w:r>
              <w:rPr>
                <w:rFonts w:eastAsia="仿宋" w:cs="Times New Roman"/>
                <w:w w:val="95"/>
                <w:kern w:val="0"/>
                <w:sz w:val="21"/>
                <w:szCs w:val="21"/>
                <w:lang w:eastAsia="zh-CN"/>
              </w:rPr>
              <w:t>，98%硫酸+3</w:t>
            </w:r>
            <w:r>
              <w:rPr>
                <w:rFonts w:hint="eastAsia" w:ascii="宋体" w:hAnsi="宋体" w:cs="宋体"/>
                <w:w w:val="95"/>
                <w:kern w:val="0"/>
                <w:sz w:val="21"/>
                <w:szCs w:val="21"/>
                <w:lang w:eastAsia="zh-CN"/>
              </w:rPr>
              <w:t>℃</w:t>
            </w:r>
            <w:r>
              <w:rPr>
                <w:rFonts w:eastAsia="仿宋" w:cs="Times New Roman"/>
                <w:w w:val="95"/>
                <w:kern w:val="0"/>
                <w:sz w:val="21"/>
                <w:szCs w:val="21"/>
                <w:lang w:eastAsia="zh-CN"/>
              </w:rPr>
              <w:t>，</w:t>
            </w:r>
            <w:r>
              <w:rPr>
                <w:rFonts w:eastAsia="仿宋" w:cs="Times New Roman"/>
                <w:spacing w:val="-93"/>
                <w:w w:val="95"/>
                <w:kern w:val="0"/>
                <w:sz w:val="21"/>
                <w:szCs w:val="21"/>
                <w:lang w:eastAsia="zh-CN"/>
              </w:rPr>
              <w:t xml:space="preserve"> </w:t>
            </w:r>
            <w:r>
              <w:rPr>
                <w:rFonts w:eastAsia="仿宋" w:cs="Times New Roman"/>
                <w:spacing w:val="-4"/>
                <w:w w:val="95"/>
                <w:kern w:val="0"/>
                <w:sz w:val="21"/>
                <w:szCs w:val="21"/>
                <w:lang w:eastAsia="zh-CN"/>
              </w:rPr>
              <w:t>93%硫酸-32</w:t>
            </w:r>
            <w:r>
              <w:rPr>
                <w:rFonts w:hint="eastAsia" w:ascii="宋体" w:hAnsi="宋体" w:cs="宋体"/>
                <w:spacing w:val="-4"/>
                <w:w w:val="95"/>
                <w:kern w:val="0"/>
                <w:sz w:val="21"/>
                <w:szCs w:val="21"/>
                <w:lang w:eastAsia="zh-CN"/>
              </w:rPr>
              <w:t>℃</w:t>
            </w:r>
            <w:r>
              <w:rPr>
                <w:rFonts w:eastAsia="仿宋" w:cs="Times New Roman"/>
                <w:spacing w:val="-4"/>
                <w:w w:val="95"/>
                <w:kern w:val="0"/>
                <w:sz w:val="21"/>
                <w:szCs w:val="21"/>
                <w:lang w:eastAsia="zh-CN"/>
              </w:rPr>
              <w:t>。蒸气压</w:t>
            </w:r>
            <w:r>
              <w:rPr>
                <w:rFonts w:eastAsia="仿宋" w:cs="Times New Roman"/>
                <w:spacing w:val="32"/>
                <w:w w:val="95"/>
                <w:kern w:val="0"/>
                <w:sz w:val="21"/>
                <w:szCs w:val="21"/>
                <w:lang w:eastAsia="zh-CN"/>
              </w:rPr>
              <w:t xml:space="preserve"> </w:t>
            </w:r>
            <w:r>
              <w:rPr>
                <w:rFonts w:eastAsia="仿宋" w:cs="Times New Roman"/>
                <w:spacing w:val="-12"/>
                <w:w w:val="95"/>
                <w:kern w:val="0"/>
                <w:sz w:val="21"/>
                <w:szCs w:val="21"/>
                <w:lang w:eastAsia="zh-CN"/>
              </w:rPr>
              <w:t>133.3Pa（145.8</w:t>
            </w:r>
            <w:r>
              <w:rPr>
                <w:rFonts w:hint="eastAsia" w:ascii="宋体" w:hAnsi="宋体" w:cs="宋体"/>
                <w:spacing w:val="-12"/>
                <w:w w:val="95"/>
                <w:kern w:val="0"/>
                <w:sz w:val="21"/>
                <w:szCs w:val="21"/>
                <w:lang w:eastAsia="zh-CN"/>
              </w:rPr>
              <w:t>℃</w:t>
            </w:r>
            <w:r>
              <w:rPr>
                <w:rFonts w:eastAsia="仿宋" w:cs="Times New Roman"/>
                <w:spacing w:val="-12"/>
                <w:w w:val="95"/>
                <w:kern w:val="0"/>
                <w:sz w:val="21"/>
                <w:szCs w:val="21"/>
                <w:lang w:eastAsia="zh-CN"/>
              </w:rPr>
              <w:t>）。易</w:t>
            </w:r>
            <w:r>
              <w:rPr>
                <w:rFonts w:eastAsia="仿宋" w:cs="Times New Roman"/>
                <w:kern w:val="0"/>
                <w:sz w:val="21"/>
                <w:szCs w:val="21"/>
                <w:lang w:eastAsia="zh-CN"/>
              </w:rPr>
              <w:t>任意溶于水，同时发生大量高热，会使硫酸飞</w:t>
            </w:r>
            <w:r>
              <w:rPr>
                <w:rFonts w:eastAsia="仿宋" w:cs="Times New Roman"/>
                <w:spacing w:val="-90"/>
                <w:kern w:val="0"/>
                <w:sz w:val="21"/>
                <w:szCs w:val="21"/>
                <w:lang w:eastAsia="zh-CN"/>
              </w:rPr>
              <w:t xml:space="preserve"> </w:t>
            </w:r>
            <w:r>
              <w:rPr>
                <w:rFonts w:eastAsia="仿宋" w:cs="Times New Roman"/>
                <w:kern w:val="0"/>
                <w:sz w:val="21"/>
                <w:szCs w:val="21"/>
                <w:lang w:eastAsia="zh-CN"/>
              </w:rPr>
              <w:t>溅伤人或引起飞溅。</w:t>
            </w:r>
          </w:p>
        </w:tc>
        <w:tc>
          <w:tcPr>
            <w:tcW w:w="1254" w:type="pct"/>
            <w:vAlign w:val="center"/>
          </w:tcPr>
          <w:p>
            <w:pPr>
              <w:autoSpaceDE w:val="0"/>
              <w:autoSpaceDN w:val="0"/>
              <w:jc w:val="center"/>
              <w:rPr>
                <w:rFonts w:eastAsia="仿宋" w:cs="Times New Roman"/>
                <w:kern w:val="0"/>
                <w:sz w:val="21"/>
                <w:szCs w:val="21"/>
                <w:lang w:eastAsia="zh-CN"/>
              </w:rPr>
            </w:pPr>
            <w:r>
              <w:rPr>
                <w:rFonts w:eastAsia="仿宋" w:cs="Times New Roman"/>
                <w:spacing w:val="3"/>
                <w:kern w:val="0"/>
                <w:sz w:val="21"/>
                <w:szCs w:val="21"/>
                <w:lang w:eastAsia="zh-CN"/>
              </w:rPr>
              <w:t>助燃，具强腐蚀性、强刺激性，可致人</w:t>
            </w:r>
            <w:r>
              <w:rPr>
                <w:rFonts w:eastAsia="仿宋" w:cs="Times New Roman"/>
                <w:spacing w:val="-72"/>
                <w:kern w:val="0"/>
                <w:sz w:val="21"/>
                <w:szCs w:val="21"/>
                <w:lang w:eastAsia="zh-CN"/>
              </w:rPr>
              <w:t xml:space="preserve"> </w:t>
            </w:r>
            <w:r>
              <w:rPr>
                <w:rFonts w:eastAsia="仿宋" w:cs="Times New Roman"/>
                <w:spacing w:val="-5"/>
                <w:kern w:val="0"/>
                <w:sz w:val="21"/>
                <w:szCs w:val="21"/>
                <w:lang w:eastAsia="zh-CN"/>
              </w:rPr>
              <w:t xml:space="preserve">体灼伤。遇水大量放热, </w:t>
            </w:r>
            <w:r>
              <w:rPr>
                <w:rFonts w:eastAsia="仿宋" w:cs="Times New Roman"/>
                <w:spacing w:val="16"/>
                <w:kern w:val="0"/>
                <w:sz w:val="21"/>
                <w:szCs w:val="21"/>
                <w:lang w:eastAsia="zh-CN"/>
              </w:rPr>
              <w:t xml:space="preserve"> </w:t>
            </w:r>
            <w:r>
              <w:rPr>
                <w:rFonts w:eastAsia="仿宋" w:cs="Times New Roman"/>
                <w:spacing w:val="-7"/>
                <w:kern w:val="0"/>
                <w:sz w:val="21"/>
                <w:szCs w:val="21"/>
                <w:lang w:eastAsia="zh-CN"/>
              </w:rPr>
              <w:t>可发生沸溅。与</w:t>
            </w:r>
          </w:p>
          <w:p>
            <w:pPr>
              <w:autoSpaceDE w:val="0"/>
              <w:autoSpaceDN w:val="0"/>
              <w:jc w:val="center"/>
              <w:rPr>
                <w:rFonts w:eastAsia="仿宋" w:cs="Times New Roman"/>
                <w:kern w:val="0"/>
                <w:sz w:val="21"/>
                <w:szCs w:val="21"/>
                <w:lang w:eastAsia="zh-CN"/>
              </w:rPr>
            </w:pPr>
            <w:r>
              <w:rPr>
                <w:rFonts w:eastAsia="仿宋" w:cs="Times New Roman"/>
                <w:spacing w:val="3"/>
                <w:kern w:val="0"/>
                <w:sz w:val="21"/>
                <w:szCs w:val="21"/>
                <w:lang w:eastAsia="zh-CN"/>
              </w:rPr>
              <w:t>易燃物（如苯）和可燃物（如糖、纤维</w:t>
            </w:r>
            <w:r>
              <w:rPr>
                <w:rFonts w:eastAsia="仿宋" w:cs="Times New Roman"/>
                <w:spacing w:val="-72"/>
                <w:kern w:val="0"/>
                <w:sz w:val="21"/>
                <w:szCs w:val="21"/>
                <w:lang w:eastAsia="zh-CN"/>
              </w:rPr>
              <w:t xml:space="preserve"> </w:t>
            </w:r>
            <w:r>
              <w:rPr>
                <w:rFonts w:eastAsia="仿宋" w:cs="Times New Roman"/>
                <w:spacing w:val="3"/>
                <w:kern w:val="0"/>
                <w:sz w:val="21"/>
                <w:szCs w:val="21"/>
                <w:lang w:eastAsia="zh-CN"/>
              </w:rPr>
              <w:t>素等）接触会发生剧烈反应，甚至引起燃烧。遇电石、高氯酸盐、雷酸盐、硝</w:t>
            </w:r>
            <w:r>
              <w:rPr>
                <w:rFonts w:eastAsia="仿宋" w:cs="Times New Roman"/>
                <w:spacing w:val="-72"/>
                <w:kern w:val="0"/>
                <w:sz w:val="21"/>
                <w:szCs w:val="21"/>
                <w:lang w:eastAsia="zh-CN"/>
              </w:rPr>
              <w:t xml:space="preserve"> </w:t>
            </w:r>
            <w:r>
              <w:rPr>
                <w:rFonts w:eastAsia="仿宋" w:cs="Times New Roman"/>
                <w:spacing w:val="-3"/>
                <w:kern w:val="0"/>
                <w:sz w:val="21"/>
                <w:szCs w:val="21"/>
                <w:lang w:eastAsia="zh-CN"/>
              </w:rPr>
              <w:t>酸盐、苦味酸盐、金属粉末等猛烈反应，</w:t>
            </w:r>
          </w:p>
          <w:p>
            <w:pPr>
              <w:autoSpaceDE w:val="0"/>
              <w:autoSpaceDN w:val="0"/>
              <w:jc w:val="center"/>
              <w:rPr>
                <w:rFonts w:eastAsia="仿宋" w:cs="Times New Roman"/>
                <w:kern w:val="0"/>
                <w:sz w:val="21"/>
                <w:szCs w:val="21"/>
                <w:lang w:eastAsia="zh-CN"/>
              </w:rPr>
            </w:pPr>
            <w:r>
              <w:rPr>
                <w:rFonts w:eastAsia="仿宋" w:cs="Times New Roman"/>
                <w:spacing w:val="3"/>
                <w:kern w:val="0"/>
                <w:sz w:val="21"/>
                <w:szCs w:val="21"/>
                <w:lang w:eastAsia="zh-CN"/>
              </w:rPr>
              <w:t>发生爆炸或燃烧。有强烈的腐蚀性和吸</w:t>
            </w:r>
            <w:r>
              <w:rPr>
                <w:rFonts w:eastAsia="仿宋" w:cs="Times New Roman"/>
                <w:spacing w:val="-72"/>
                <w:kern w:val="0"/>
                <w:sz w:val="21"/>
                <w:szCs w:val="21"/>
                <w:lang w:eastAsia="zh-CN"/>
              </w:rPr>
              <w:t xml:space="preserve"> </w:t>
            </w:r>
            <w:r>
              <w:rPr>
                <w:rFonts w:eastAsia="仿宋" w:cs="Times New Roman"/>
                <w:kern w:val="0"/>
                <w:sz w:val="21"/>
                <w:szCs w:val="21"/>
                <w:lang w:eastAsia="zh-CN"/>
              </w:rPr>
              <w:t>水性。</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急性毒性：</w:t>
            </w:r>
            <w:r>
              <w:rPr>
                <w:rFonts w:eastAsia="仿宋" w:cs="Times New Roman"/>
                <w:spacing w:val="-1"/>
                <w:w w:val="95"/>
                <w:kern w:val="0"/>
                <w:sz w:val="21"/>
                <w:szCs w:val="21"/>
                <w:lang w:eastAsia="en-US"/>
              </w:rPr>
              <w:t>LD50：</w:t>
            </w:r>
            <w:r>
              <w:rPr>
                <w:rFonts w:eastAsia="仿宋" w:cs="Times New Roman"/>
                <w:kern w:val="0"/>
                <w:sz w:val="21"/>
                <w:szCs w:val="21"/>
                <w:lang w:eastAsia="en-US"/>
              </w:rPr>
              <w:t>2140</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 xml:space="preserve">mg/kg(大鼠经口) </w:t>
            </w:r>
            <w:r>
              <w:rPr>
                <w:rFonts w:eastAsia="仿宋" w:cs="Times New Roman"/>
                <w:spacing w:val="-8"/>
                <w:w w:val="95"/>
                <w:kern w:val="0"/>
                <w:sz w:val="21"/>
                <w:szCs w:val="21"/>
                <w:lang w:eastAsia="en-US"/>
              </w:rPr>
              <w:t>LC50：510mg/m</w:t>
            </w:r>
            <w:r>
              <w:rPr>
                <w:rFonts w:eastAsia="仿宋" w:cs="Times New Roman"/>
                <w:spacing w:val="-8"/>
                <w:w w:val="95"/>
                <w:kern w:val="0"/>
                <w:position w:val="10"/>
                <w:sz w:val="21"/>
                <w:szCs w:val="21"/>
                <w:lang w:eastAsia="en-US"/>
              </w:rPr>
              <w:t>3</w:t>
            </w:r>
            <w:r>
              <w:rPr>
                <w:rFonts w:eastAsia="仿宋" w:cs="Times New Roman"/>
                <w:spacing w:val="-8"/>
                <w:w w:val="95"/>
                <w:kern w:val="0"/>
                <w:sz w:val="21"/>
                <w:szCs w:val="21"/>
                <w:lang w:eastAsia="en-US"/>
              </w:rPr>
              <w:t>，2</w:t>
            </w:r>
            <w:r>
              <w:rPr>
                <w:rFonts w:eastAsia="仿宋" w:cs="Times New Roman"/>
                <w:spacing w:val="-49"/>
                <w:w w:val="95"/>
                <w:kern w:val="0"/>
                <w:sz w:val="21"/>
                <w:szCs w:val="21"/>
                <w:lang w:eastAsia="en-US"/>
              </w:rPr>
              <w:t xml:space="preserve"> </w:t>
            </w:r>
            <w:r>
              <w:rPr>
                <w:rFonts w:eastAsia="仿宋" w:cs="Times New Roman"/>
                <w:spacing w:val="13"/>
                <w:kern w:val="0"/>
                <w:sz w:val="21"/>
                <w:szCs w:val="21"/>
                <w:lang w:eastAsia="en-US"/>
              </w:rPr>
              <w:t>小时(</w:t>
            </w:r>
            <w:r>
              <w:rPr>
                <w:rFonts w:eastAsia="仿宋" w:cs="Times New Roman"/>
                <w:spacing w:val="-30"/>
                <w:kern w:val="0"/>
                <w:sz w:val="21"/>
                <w:szCs w:val="21"/>
                <w:lang w:eastAsia="en-US"/>
              </w:rPr>
              <w:t xml:space="preserve"> </w:t>
            </w:r>
            <w:r>
              <w:rPr>
                <w:rFonts w:eastAsia="仿宋" w:cs="Times New Roman"/>
                <w:spacing w:val="16"/>
                <w:kern w:val="0"/>
                <w:sz w:val="21"/>
                <w:szCs w:val="21"/>
                <w:lang w:eastAsia="en-US"/>
              </w:rPr>
              <w:t>大鼠吸入)</w:t>
            </w:r>
            <w:r>
              <w:rPr>
                <w:rFonts w:eastAsia="仿宋" w:cs="Times New Roman"/>
                <w:kern w:val="0"/>
                <w:sz w:val="21"/>
                <w:szCs w:val="21"/>
                <w:lang w:eastAsia="en-US"/>
              </w:rPr>
              <w:t>320mg/m</w:t>
            </w:r>
            <w:r>
              <w:rPr>
                <w:rFonts w:eastAsia="仿宋" w:cs="Times New Roman"/>
                <w:kern w:val="0"/>
                <w:position w:val="10"/>
                <w:sz w:val="21"/>
                <w:szCs w:val="21"/>
                <w:lang w:eastAsia="en-US"/>
              </w:rPr>
              <w:t xml:space="preserve">3 </w:t>
            </w:r>
            <w:r>
              <w:rPr>
                <w:rFonts w:eastAsia="仿宋" w:cs="Times New Roman"/>
                <w:spacing w:val="7"/>
                <w:kern w:val="0"/>
                <w:sz w:val="21"/>
                <w:szCs w:val="21"/>
                <w:lang w:eastAsia="en-US"/>
              </w:rPr>
              <w:t>，2</w:t>
            </w:r>
            <w:r>
              <w:rPr>
                <w:rFonts w:eastAsia="仿宋" w:cs="Times New Roman"/>
                <w:spacing w:val="-31"/>
                <w:kern w:val="0"/>
                <w:sz w:val="21"/>
                <w:szCs w:val="21"/>
                <w:lang w:eastAsia="en-US"/>
              </w:rPr>
              <w:t xml:space="preserve"> </w:t>
            </w:r>
            <w:r>
              <w:rPr>
                <w:rFonts w:eastAsia="仿宋" w:cs="Times New Roman"/>
                <w:spacing w:val="7"/>
                <w:kern w:val="0"/>
                <w:sz w:val="21"/>
                <w:szCs w:val="21"/>
                <w:lang w:eastAsia="en-US"/>
              </w:rPr>
              <w:t>小时</w:t>
            </w:r>
            <w:r>
              <w:rPr>
                <w:rFonts w:eastAsia="仿宋" w:cs="Times New Roman"/>
                <w:kern w:val="0"/>
                <w:sz w:val="21"/>
                <w:szCs w:val="21"/>
                <w:lang w:eastAsia="en-US"/>
              </w:rPr>
              <w:t xml:space="preserve"> (小鼠吸入)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3832"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发烟硫酸</w:t>
            </w:r>
          </w:p>
        </w:tc>
        <w:tc>
          <w:tcPr>
            <w:tcW w:w="651" w:type="pct"/>
            <w:vAlign w:val="center"/>
          </w:tcPr>
          <w:p>
            <w:pPr>
              <w:autoSpaceDE w:val="0"/>
              <w:autoSpaceDN w:val="0"/>
              <w:jc w:val="center"/>
              <w:rPr>
                <w:rFonts w:eastAsia="仿宋" w:cs="Times New Roman"/>
                <w:kern w:val="0"/>
                <w:position w:val="-2"/>
                <w:sz w:val="21"/>
                <w:szCs w:val="21"/>
                <w:lang w:eastAsia="en-US"/>
              </w:rPr>
            </w:pPr>
            <w:r>
              <w:rPr>
                <w:rFonts w:eastAsia="仿宋" w:cs="Times New Roman"/>
                <w:kern w:val="0"/>
                <w:sz w:val="21"/>
                <w:szCs w:val="21"/>
                <w:lang w:eastAsia="en-US"/>
              </w:rPr>
              <w:t>H</w:t>
            </w:r>
            <w:r>
              <w:rPr>
                <w:rFonts w:eastAsia="仿宋" w:cs="Times New Roman"/>
                <w:kern w:val="0"/>
                <w:position w:val="-2"/>
                <w:sz w:val="21"/>
                <w:szCs w:val="21"/>
                <w:lang w:eastAsia="en-US"/>
              </w:rPr>
              <w:t>2</w:t>
            </w:r>
            <w:r>
              <w:rPr>
                <w:rFonts w:eastAsia="仿宋" w:cs="Times New Roman"/>
                <w:kern w:val="0"/>
                <w:sz w:val="21"/>
                <w:szCs w:val="21"/>
                <w:lang w:eastAsia="en-US"/>
              </w:rPr>
              <w:t>SO</w:t>
            </w:r>
            <w:r>
              <w:rPr>
                <w:rFonts w:eastAsia="仿宋" w:cs="Times New Roman"/>
                <w:kern w:val="0"/>
                <w:position w:val="-2"/>
                <w:sz w:val="21"/>
                <w:szCs w:val="21"/>
                <w:lang w:eastAsia="en-US"/>
              </w:rPr>
              <w:t>4</w:t>
            </w:r>
            <w:r>
              <w:rPr>
                <w:rFonts w:eastAsia="仿宋" w:cs="Times New Roman"/>
                <w:kern w:val="0"/>
                <w:sz w:val="21"/>
                <w:szCs w:val="21"/>
                <w:lang w:eastAsia="en-US"/>
              </w:rPr>
              <w:t>·XSO</w:t>
            </w:r>
            <w:r>
              <w:rPr>
                <w:rFonts w:eastAsia="仿宋" w:cs="Times New Roman"/>
                <w:kern w:val="0"/>
                <w:position w:val="-2"/>
                <w:sz w:val="21"/>
                <w:szCs w:val="21"/>
                <w:lang w:eastAsia="en-US"/>
              </w:rPr>
              <w:t>3</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分子量：178</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腐蚀性物质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无色或棕色油状稠厚的发烟液体，有强刺激性臭 味 。 相 对 密 度 1.99 。 熔 点 4.0</w:t>
            </w:r>
            <w:r>
              <w:rPr>
                <w:rFonts w:hint="eastAsia" w:ascii="宋体" w:hAnsi="宋体" w:cs="宋体"/>
                <w:kern w:val="0"/>
                <w:sz w:val="21"/>
                <w:szCs w:val="21"/>
                <w:lang w:eastAsia="zh-CN"/>
              </w:rPr>
              <w:t>℃</w:t>
            </w:r>
            <w:r>
              <w:rPr>
                <w:rFonts w:eastAsia="仿宋" w:cs="Times New Roman"/>
                <w:kern w:val="0"/>
                <w:sz w:val="21"/>
                <w:szCs w:val="21"/>
                <w:lang w:eastAsia="zh-CN"/>
              </w:rPr>
              <w:t xml:space="preserve"> ， 沸 点99-161</w:t>
            </w:r>
            <w:r>
              <w:rPr>
                <w:rFonts w:hint="eastAsia" w:ascii="宋体" w:hAnsi="宋体" w:cs="宋体"/>
                <w:kern w:val="0"/>
                <w:sz w:val="21"/>
                <w:szCs w:val="21"/>
                <w:lang w:eastAsia="zh-CN"/>
              </w:rPr>
              <w:t>℃</w:t>
            </w:r>
            <w:r>
              <w:rPr>
                <w:rFonts w:eastAsia="仿宋" w:cs="Times New Roman"/>
                <w:kern w:val="0"/>
                <w:sz w:val="21"/>
                <w:szCs w:val="21"/>
                <w:lang w:eastAsia="zh-CN"/>
              </w:rPr>
              <w:t>。饱和蒸气压 0.13Pa（145.8</w:t>
            </w:r>
            <w:r>
              <w:rPr>
                <w:rFonts w:hint="eastAsia" w:ascii="宋体" w:hAnsi="宋体" w:cs="宋体"/>
                <w:kern w:val="0"/>
                <w:sz w:val="21"/>
                <w:szCs w:val="21"/>
                <w:lang w:eastAsia="zh-CN"/>
              </w:rPr>
              <w:t>℃</w:t>
            </w:r>
            <w:r>
              <w:rPr>
                <w:rFonts w:eastAsia="仿宋" w:cs="Times New Roman"/>
                <w:kern w:val="0"/>
                <w:sz w:val="21"/>
                <w:szCs w:val="21"/>
                <w:lang w:eastAsia="zh-CN"/>
              </w:rPr>
              <w:t>）。稳定性:极度不稳定，易挥发形成硫酸和三氧化硫。</w:t>
            </w:r>
          </w:p>
          <w:p>
            <w:pPr>
              <w:autoSpaceDE w:val="0"/>
              <w:autoSpaceDN w:val="0"/>
              <w:jc w:val="center"/>
              <w:rPr>
                <w:rFonts w:eastAsia="仿宋" w:cs="Times New Roman"/>
                <w:kern w:val="0"/>
                <w:sz w:val="21"/>
                <w:szCs w:val="21"/>
                <w:lang w:eastAsia="zh-CN"/>
              </w:rPr>
            </w:pPr>
          </w:p>
        </w:tc>
        <w:tc>
          <w:tcPr>
            <w:tcW w:w="1254" w:type="pct"/>
            <w:vAlign w:val="center"/>
          </w:tcPr>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遇水大量放热，可发生沸溅。与易燃物（如苯）和可燃物（如糖、纤维素等）</w:t>
            </w:r>
          </w:p>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接触会发生剧烈反应，甚至引起燃烧。遇电石、高氯酸盐、雷酸盐、硝酸盐、</w:t>
            </w:r>
          </w:p>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苦味酸盐、金属粉末等猛烈反应，发生爆炸或燃烧。能与普通金属发生反应，</w:t>
            </w:r>
          </w:p>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放出氢气而与空气形成爆炸性混合物。有强烈的腐蚀性和吸水性。</w:t>
            </w:r>
          </w:p>
        </w:tc>
        <w:tc>
          <w:tcPr>
            <w:tcW w:w="976"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急性毒性：LD50：80 mg/kg（大鼠经口）LC50：无资料</w:t>
            </w:r>
          </w:p>
          <w:p>
            <w:pPr>
              <w:autoSpaceDE w:val="0"/>
              <w:autoSpaceDN w:val="0"/>
              <w:jc w:val="center"/>
              <w:rPr>
                <w:rFonts w:eastAsia="仿宋" w:cs="Times New Roman"/>
                <w:kern w:val="0"/>
                <w:sz w:val="21"/>
                <w:szCs w:val="21"/>
                <w:lang w:eastAsia="zh-CN"/>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2553" w:hRule="exact"/>
        </w:trPr>
        <w:tc>
          <w:tcPr>
            <w:tcW w:w="329" w:type="pct"/>
            <w:vAlign w:val="center"/>
          </w:tcPr>
          <w:p>
            <w:pPr>
              <w:autoSpaceDE w:val="0"/>
              <w:autoSpaceDN w:val="0"/>
              <w:spacing w:line="271" w:lineRule="exact"/>
              <w:jc w:val="center"/>
              <w:rPr>
                <w:rFonts w:eastAsia="仿宋" w:cs="Times New Roman"/>
                <w:kern w:val="0"/>
                <w:sz w:val="21"/>
                <w:szCs w:val="21"/>
                <w:lang w:eastAsia="en-US"/>
              </w:rPr>
            </w:pPr>
            <w:r>
              <w:rPr>
                <w:rFonts w:eastAsia="仿宋" w:cs="Times New Roman"/>
                <w:kern w:val="0"/>
                <w:sz w:val="21"/>
                <w:szCs w:val="21"/>
                <w:lang w:eastAsia="en-US"/>
              </w:rPr>
              <w:t>烧碱</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NaOH</w:t>
            </w:r>
          </w:p>
          <w:p>
            <w:pPr>
              <w:autoSpaceDE w:val="0"/>
              <w:autoSpaceDN w:val="0"/>
              <w:jc w:val="center"/>
              <w:rPr>
                <w:rFonts w:eastAsia="仿宋" w:cs="Times New Roman"/>
                <w:kern w:val="0"/>
                <w:sz w:val="21"/>
                <w:szCs w:val="21"/>
                <w:lang w:eastAsia="en-US"/>
              </w:rPr>
            </w:pPr>
            <w:r>
              <w:rPr>
                <w:rFonts w:hint="eastAsia" w:eastAsia="仿宋" w:cs="Times New Roman"/>
                <w:kern w:val="0"/>
                <w:sz w:val="21"/>
                <w:szCs w:val="21"/>
                <w:lang w:eastAsia="en-US"/>
              </w:rPr>
              <w:t>分子量：40</w:t>
            </w:r>
          </w:p>
        </w:tc>
        <w:tc>
          <w:tcPr>
            <w:tcW w:w="337" w:type="pct"/>
            <w:vAlign w:val="center"/>
          </w:tcPr>
          <w:p>
            <w:pPr>
              <w:autoSpaceDE w:val="0"/>
              <w:autoSpaceDN w:val="0"/>
              <w:spacing w:line="271" w:lineRule="exact"/>
              <w:jc w:val="center"/>
              <w:rPr>
                <w:rFonts w:eastAsia="仿宋" w:cs="Times New Roman"/>
                <w:kern w:val="0"/>
                <w:sz w:val="21"/>
                <w:szCs w:val="21"/>
                <w:lang w:eastAsia="en-US"/>
              </w:rPr>
            </w:pPr>
            <w:r>
              <w:rPr>
                <w:rFonts w:eastAsia="仿宋" w:cs="Times New Roman"/>
                <w:kern w:val="0"/>
                <w:sz w:val="21"/>
                <w:szCs w:val="21"/>
                <w:lang w:eastAsia="en-US"/>
              </w:rPr>
              <w:t>腐蚀性物质</w:t>
            </w:r>
          </w:p>
        </w:tc>
        <w:tc>
          <w:tcPr>
            <w:tcW w:w="1452" w:type="pct"/>
            <w:vAlign w:val="center"/>
          </w:tcPr>
          <w:p>
            <w:pPr>
              <w:autoSpaceDE w:val="0"/>
              <w:autoSpaceDN w:val="0"/>
              <w:spacing w:line="243" w:lineRule="exact"/>
              <w:jc w:val="center"/>
              <w:rPr>
                <w:rFonts w:eastAsia="仿宋" w:cs="Times New Roman"/>
                <w:kern w:val="0"/>
                <w:sz w:val="21"/>
                <w:szCs w:val="21"/>
                <w:lang w:eastAsia="zh-CN"/>
              </w:rPr>
            </w:pPr>
            <w:r>
              <w:rPr>
                <w:rFonts w:eastAsia="仿宋" w:cs="Times New Roman"/>
                <w:kern w:val="0"/>
                <w:sz w:val="21"/>
                <w:szCs w:val="21"/>
                <w:lang w:eastAsia="zh-CN"/>
              </w:rPr>
              <w:t>相对密度 2.13。熔点 318</w:t>
            </w:r>
            <w:r>
              <w:rPr>
                <w:rFonts w:hint="eastAsia" w:ascii="宋体" w:hAnsi="宋体" w:cs="宋体"/>
                <w:kern w:val="0"/>
                <w:sz w:val="21"/>
                <w:szCs w:val="21"/>
                <w:lang w:eastAsia="zh-CN"/>
              </w:rPr>
              <w:t>℃</w:t>
            </w:r>
            <w:r>
              <w:rPr>
                <w:rFonts w:eastAsia="仿宋" w:cs="Times New Roman"/>
                <w:kern w:val="0"/>
                <w:sz w:val="21"/>
                <w:szCs w:val="21"/>
                <w:lang w:eastAsia="zh-CN"/>
              </w:rPr>
              <w:t>。沸点 1390</w:t>
            </w:r>
            <w:r>
              <w:rPr>
                <w:rFonts w:hint="eastAsia" w:ascii="宋体" w:hAnsi="宋体" w:cs="宋体"/>
                <w:kern w:val="0"/>
                <w:sz w:val="21"/>
                <w:szCs w:val="21"/>
                <w:lang w:eastAsia="zh-CN"/>
              </w:rPr>
              <w:t>℃</w:t>
            </w:r>
            <w:r>
              <w:rPr>
                <w:rFonts w:eastAsia="仿宋" w:cs="Times New Roman"/>
                <w:kern w:val="0"/>
                <w:sz w:val="21"/>
                <w:szCs w:val="21"/>
                <w:lang w:eastAsia="zh-CN"/>
              </w:rPr>
              <w:t>。溶 于水，并放出大量热。溶于醇、甘油，并能放 出大量热。不溶于乙醚、丙酮。蒸气压  133.3Pa</w:t>
            </w:r>
          </w:p>
          <w:p>
            <w:pPr>
              <w:autoSpaceDE w:val="0"/>
              <w:autoSpaceDN w:val="0"/>
              <w:spacing w:line="243" w:lineRule="exact"/>
              <w:jc w:val="center"/>
              <w:rPr>
                <w:rFonts w:eastAsia="仿宋" w:cs="Times New Roman"/>
                <w:kern w:val="0"/>
                <w:sz w:val="21"/>
                <w:szCs w:val="21"/>
                <w:lang w:eastAsia="zh-CN"/>
              </w:rPr>
            </w:pPr>
          </w:p>
          <w:p>
            <w:pPr>
              <w:autoSpaceDE w:val="0"/>
              <w:autoSpaceDN w:val="0"/>
              <w:spacing w:line="243" w:lineRule="exact"/>
              <w:jc w:val="center"/>
              <w:rPr>
                <w:rFonts w:eastAsia="仿宋" w:cs="Times New Roman"/>
                <w:kern w:val="0"/>
                <w:sz w:val="21"/>
                <w:szCs w:val="21"/>
                <w:lang w:eastAsia="en-US"/>
              </w:rPr>
            </w:pPr>
            <w:r>
              <w:rPr>
                <w:rFonts w:eastAsia="仿宋" w:cs="Times New Roman"/>
                <w:kern w:val="0"/>
                <w:sz w:val="21"/>
                <w:szCs w:val="21"/>
                <w:lang w:eastAsia="en-US"/>
              </w:rPr>
              <w:t>（739</w:t>
            </w:r>
            <w:r>
              <w:rPr>
                <w:rFonts w:hint="eastAsia" w:ascii="宋体" w:hAnsi="宋体" w:cs="宋体"/>
                <w:kern w:val="0"/>
                <w:sz w:val="21"/>
                <w:szCs w:val="21"/>
                <w:lang w:eastAsia="en-US"/>
              </w:rPr>
              <w:t>℃</w:t>
            </w:r>
            <w:r>
              <w:rPr>
                <w:rFonts w:eastAsia="仿宋" w:cs="Times New Roman"/>
                <w:kern w:val="0"/>
                <w:sz w:val="21"/>
                <w:szCs w:val="21"/>
                <w:lang w:eastAsia="en-US"/>
              </w:rPr>
              <w:t>）。</w:t>
            </w:r>
          </w:p>
          <w:p>
            <w:pPr>
              <w:autoSpaceDE w:val="0"/>
              <w:autoSpaceDN w:val="0"/>
              <w:spacing w:line="243" w:lineRule="exact"/>
              <w:jc w:val="center"/>
              <w:rPr>
                <w:rFonts w:eastAsia="仿宋" w:cs="Times New Roman"/>
                <w:kern w:val="0"/>
                <w:sz w:val="21"/>
                <w:szCs w:val="21"/>
                <w:lang w:eastAsia="en-US"/>
              </w:rPr>
            </w:pPr>
          </w:p>
        </w:tc>
        <w:tc>
          <w:tcPr>
            <w:tcW w:w="1254" w:type="pct"/>
            <w:vAlign w:val="center"/>
          </w:tcPr>
          <w:p>
            <w:pPr>
              <w:autoSpaceDE w:val="0"/>
              <w:autoSpaceDN w:val="0"/>
              <w:spacing w:line="271" w:lineRule="exact"/>
              <w:jc w:val="center"/>
              <w:rPr>
                <w:rFonts w:eastAsia="仿宋" w:cs="Times New Roman"/>
                <w:kern w:val="0"/>
                <w:sz w:val="21"/>
                <w:szCs w:val="21"/>
                <w:lang w:eastAsia="en-US"/>
              </w:rPr>
            </w:pPr>
            <w:r>
              <w:rPr>
                <w:rFonts w:eastAsia="仿宋" w:cs="Times New Roman"/>
                <w:kern w:val="0"/>
                <w:sz w:val="21"/>
                <w:szCs w:val="21"/>
                <w:lang w:eastAsia="zh-CN"/>
              </w:rPr>
              <w:t>不燃，具强腐蚀性、强刺激性，可致人体灼伤。与酸发生中和反应并放热。遇潮时对铝、锌和锡有腐蚀性，并放出易 燃易爆的氢气。本品不会燃烧,  遇水和水蒸气大量放热, 形成腐蚀性溶液。</w:t>
            </w:r>
            <w:r>
              <w:rPr>
                <w:rFonts w:eastAsia="仿宋" w:cs="Times New Roman"/>
                <w:kern w:val="0"/>
                <w:sz w:val="21"/>
                <w:szCs w:val="21"/>
                <w:lang w:eastAsia="en-US"/>
              </w:rPr>
              <w:t>具有强腐蚀性。</w:t>
            </w:r>
          </w:p>
        </w:tc>
        <w:tc>
          <w:tcPr>
            <w:tcW w:w="976" w:type="pct"/>
            <w:vAlign w:val="center"/>
          </w:tcPr>
          <w:p>
            <w:pPr>
              <w:autoSpaceDE w:val="0"/>
              <w:autoSpaceDN w:val="0"/>
              <w:jc w:val="center"/>
              <w:rPr>
                <w:rFonts w:eastAsia="仿宋" w:cs="Times New Roman"/>
                <w:kern w:val="0"/>
                <w:sz w:val="21"/>
                <w:szCs w:val="21"/>
                <w:lang w:eastAsia="zh-CN"/>
              </w:rPr>
            </w:pPr>
            <w:r>
              <w:rPr>
                <w:rFonts w:hint="eastAsia" w:eastAsia="仿宋" w:cs="Times New Roman"/>
                <w:kern w:val="0"/>
                <w:sz w:val="21"/>
                <w:szCs w:val="21"/>
                <w:lang w:eastAsia="zh-CN"/>
              </w:rPr>
              <w:t>家兔经眼：1%重度 刺激。家兔经皮： 50mg/24  小时，重度刺激。</w:t>
            </w:r>
          </w:p>
          <w:p>
            <w:pPr>
              <w:autoSpaceDE w:val="0"/>
              <w:autoSpaceDN w:val="0"/>
              <w:jc w:val="center"/>
              <w:rPr>
                <w:rFonts w:eastAsia="仿宋" w:cs="Times New Roman"/>
                <w:kern w:val="0"/>
                <w:sz w:val="21"/>
                <w:szCs w:val="21"/>
                <w:lang w:eastAsia="zh-CN"/>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2561"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盐酸</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HCl</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分子量：36.5</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腐蚀性物质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无色至微黄色液体。是氯化氢水溶液。工业品 分 为 31% 、 33% 和 36% 三 种 。 相 对 密 度 1.12-1.19。凝固点-17</w:t>
            </w:r>
            <w:r>
              <w:rPr>
                <w:rFonts w:hint="eastAsia" w:ascii="宋体" w:hAnsi="宋体" w:cs="宋体"/>
                <w:kern w:val="0"/>
                <w:sz w:val="21"/>
                <w:szCs w:val="21"/>
                <w:lang w:eastAsia="zh-CN"/>
              </w:rPr>
              <w:t>℃</w:t>
            </w:r>
            <w:r>
              <w:rPr>
                <w:rFonts w:eastAsia="仿宋" w:cs="Times New Roman"/>
                <w:kern w:val="0"/>
                <w:sz w:val="21"/>
                <w:szCs w:val="21"/>
                <w:lang w:eastAsia="zh-CN"/>
              </w:rPr>
              <w:t>-  -62</w:t>
            </w:r>
            <w:r>
              <w:rPr>
                <w:rFonts w:hint="eastAsia" w:ascii="宋体" w:hAnsi="宋体" w:cs="宋体"/>
                <w:kern w:val="0"/>
                <w:sz w:val="21"/>
                <w:szCs w:val="21"/>
                <w:lang w:eastAsia="zh-CN"/>
              </w:rPr>
              <w:t>℃</w:t>
            </w:r>
            <w:r>
              <w:rPr>
                <w:rFonts w:eastAsia="仿宋" w:cs="Times New Roman"/>
                <w:kern w:val="0"/>
                <w:sz w:val="21"/>
                <w:szCs w:val="21"/>
                <w:lang w:eastAsia="zh-CN"/>
              </w:rPr>
              <w:t>。溶于水，水溶液呈酸性。溶于乙醇和乙醚。在常温下易挥发。</w:t>
            </w:r>
          </w:p>
        </w:tc>
        <w:tc>
          <w:tcPr>
            <w:tcW w:w="1254" w:type="pct"/>
            <w:vAlign w:val="center"/>
          </w:tcPr>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zh-CN"/>
              </w:rPr>
              <w:t>不燃，具强腐蚀性、强刺激性，可致人体灼伤。能与一些活性金属粉末发生反 应,  放出氢气。遇氰化物能产生剧毒的氰化氢气体。与碱发生中合反应，并放出 大量的热。</w:t>
            </w:r>
            <w:r>
              <w:rPr>
                <w:rFonts w:eastAsia="仿宋" w:cs="Times New Roman"/>
                <w:spacing w:val="2"/>
                <w:kern w:val="0"/>
                <w:sz w:val="21"/>
                <w:szCs w:val="21"/>
                <w:lang w:eastAsia="en-US"/>
              </w:rPr>
              <w:t>具有较强的腐蚀性。</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急 性 毒 性 ： LD50900mg/kg(兔经 口)；LC503124ppm， 1 小时(大鼠吸入)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2839"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次氯 酸钠</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NaClO</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分子量：74</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腐蚀性物质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为微黄色液体，有氯的气味。分子量 74.44，熔点-6</w:t>
            </w:r>
            <w:r>
              <w:rPr>
                <w:rFonts w:hint="eastAsia" w:ascii="宋体" w:hAnsi="宋体" w:cs="宋体"/>
                <w:kern w:val="0"/>
                <w:sz w:val="21"/>
                <w:szCs w:val="21"/>
                <w:lang w:eastAsia="zh-CN"/>
              </w:rPr>
              <w:t>℃</w:t>
            </w:r>
            <w:r>
              <w:rPr>
                <w:rFonts w:eastAsia="仿宋" w:cs="Times New Roman"/>
                <w:kern w:val="0"/>
                <w:sz w:val="21"/>
                <w:szCs w:val="21"/>
                <w:lang w:eastAsia="zh-CN"/>
              </w:rPr>
              <w:t>，沸点 102.2</w:t>
            </w:r>
            <w:r>
              <w:rPr>
                <w:rFonts w:hint="eastAsia" w:ascii="宋体" w:hAnsi="宋体" w:cs="宋体"/>
                <w:kern w:val="0"/>
                <w:sz w:val="21"/>
                <w:szCs w:val="21"/>
                <w:lang w:eastAsia="zh-CN"/>
              </w:rPr>
              <w:t>℃</w:t>
            </w:r>
            <w:r>
              <w:rPr>
                <w:rFonts w:eastAsia="仿宋" w:cs="Times New Roman"/>
                <w:kern w:val="0"/>
                <w:sz w:val="21"/>
                <w:szCs w:val="21"/>
                <w:lang w:eastAsia="zh-CN"/>
              </w:rPr>
              <w:t>，相对密度(水=1)1.10，</w:t>
            </w:r>
          </w:p>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溶于水。 碱度不低于 2%-3% 的溶液可存储 10-15 天，碱性较小时分解较快，并放出不稳 定的次氯酸，再分解而成氯和氧，或转变成氯酸盐。</w:t>
            </w:r>
          </w:p>
        </w:tc>
        <w:tc>
          <w:tcPr>
            <w:tcW w:w="1254" w:type="pct"/>
            <w:vAlign w:val="center"/>
          </w:tcPr>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zh-CN"/>
              </w:rPr>
              <w:t>不燃，具腐蚀性，可致人体灼伤，具致 敏性。受高热分解产生有毒的腐蚀性烟 气。</w:t>
            </w:r>
            <w:r>
              <w:rPr>
                <w:rFonts w:eastAsia="仿宋" w:cs="Times New Roman"/>
                <w:spacing w:val="2"/>
                <w:kern w:val="0"/>
                <w:sz w:val="21"/>
                <w:szCs w:val="21"/>
                <w:lang w:eastAsia="en-US"/>
              </w:rPr>
              <w:t>具有腐蚀性。</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急 性 毒 性 ： LD505800mg/kg( 小 鼠经口)</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3548"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液氯</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Cl</w:t>
            </w:r>
            <w:r>
              <w:rPr>
                <w:rFonts w:eastAsia="仿宋" w:cs="Times New Roman"/>
                <w:kern w:val="0"/>
                <w:sz w:val="21"/>
                <w:szCs w:val="21"/>
                <w:vertAlign w:val="subscript"/>
                <w:lang w:eastAsia="en-US"/>
              </w:rPr>
              <w:t>2</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分子量：71</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有毒物质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常温下 7.09*105Pa 以上压力时为液体。液态氯 为金黄色。相对密度  3.214。熔点-102</w:t>
            </w:r>
            <w:r>
              <w:rPr>
                <w:rFonts w:hint="eastAsia" w:ascii="宋体" w:hAnsi="宋体" w:cs="宋体"/>
                <w:kern w:val="0"/>
                <w:sz w:val="21"/>
                <w:szCs w:val="21"/>
                <w:lang w:eastAsia="zh-CN"/>
              </w:rPr>
              <w:t>℃</w:t>
            </w:r>
            <w:r>
              <w:rPr>
                <w:rFonts w:eastAsia="仿宋" w:cs="Times New Roman"/>
                <w:kern w:val="0"/>
                <w:sz w:val="21"/>
                <w:szCs w:val="21"/>
                <w:lang w:eastAsia="zh-CN"/>
              </w:rPr>
              <w:t>。沸点-34.6</w:t>
            </w:r>
            <w:r>
              <w:rPr>
                <w:rFonts w:hint="eastAsia" w:ascii="宋体" w:hAnsi="宋体" w:cs="宋体"/>
                <w:kern w:val="0"/>
                <w:sz w:val="21"/>
                <w:szCs w:val="21"/>
                <w:lang w:eastAsia="zh-CN"/>
              </w:rPr>
              <w:t>℃</w:t>
            </w:r>
            <w:r>
              <w:rPr>
                <w:rFonts w:eastAsia="仿宋" w:cs="Times New Roman"/>
                <w:kern w:val="0"/>
                <w:sz w:val="21"/>
                <w:szCs w:val="21"/>
                <w:lang w:eastAsia="zh-CN"/>
              </w:rPr>
              <w:t>。临界温度 144</w:t>
            </w:r>
            <w:r>
              <w:rPr>
                <w:rFonts w:hint="eastAsia" w:ascii="宋体" w:hAnsi="宋体" w:cs="宋体"/>
                <w:kern w:val="0"/>
                <w:sz w:val="21"/>
                <w:szCs w:val="21"/>
                <w:lang w:eastAsia="zh-CN"/>
              </w:rPr>
              <w:t>℃</w:t>
            </w:r>
            <w:r>
              <w:rPr>
                <w:rFonts w:eastAsia="仿宋" w:cs="Times New Roman"/>
                <w:kern w:val="0"/>
                <w:sz w:val="21"/>
                <w:szCs w:val="21"/>
                <w:lang w:eastAsia="zh-CN"/>
              </w:rPr>
              <w:t>。临界压力 7.71*106Pa。 蒸气压 6.40*105Pa（20</w:t>
            </w:r>
            <w:r>
              <w:rPr>
                <w:rFonts w:hint="eastAsia" w:ascii="宋体" w:hAnsi="宋体" w:cs="宋体"/>
                <w:kern w:val="0"/>
                <w:sz w:val="21"/>
                <w:szCs w:val="21"/>
                <w:lang w:eastAsia="zh-CN"/>
              </w:rPr>
              <w:t>℃</w:t>
            </w:r>
            <w:r>
              <w:rPr>
                <w:rFonts w:eastAsia="仿宋" w:cs="Times New Roman"/>
                <w:kern w:val="0"/>
                <w:sz w:val="21"/>
                <w:szCs w:val="21"/>
                <w:lang w:eastAsia="zh-CN"/>
              </w:rPr>
              <w:t>）。蒸气相对密度 2.49。</w:t>
            </w:r>
          </w:p>
        </w:tc>
        <w:tc>
          <w:tcPr>
            <w:tcW w:w="1254" w:type="pct"/>
            <w:vAlign w:val="center"/>
          </w:tcPr>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zh-CN"/>
              </w:rPr>
              <w:t>本品不会燃烧，但可助燃。一般可燃物大都能在氯气中燃烧，一般易燃气体或 蒸气也都能与氯气形成爆炸性混合物。 氯气能与许多化学品如乙炔、松节油、 乙醚、氨、燃料气、烃类、氢气、金属 粉末等猛烈反应发生爆炸或生成爆炸性 物质。</w:t>
            </w:r>
            <w:r>
              <w:rPr>
                <w:rFonts w:eastAsia="仿宋" w:cs="Times New Roman"/>
                <w:spacing w:val="2"/>
                <w:kern w:val="0"/>
                <w:sz w:val="21"/>
                <w:szCs w:val="21"/>
                <w:lang w:eastAsia="en-US"/>
              </w:rPr>
              <w:t>它几乎对金属和非金属都有腐蚀作用。</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zh-CN"/>
              </w:rPr>
              <w:t>毒性：属高毒类。 是一种强烈的刺激 性气体。</w:t>
            </w:r>
            <w:r>
              <w:rPr>
                <w:rFonts w:eastAsia="仿宋" w:cs="Times New Roman"/>
                <w:kern w:val="0"/>
                <w:sz w:val="21"/>
                <w:szCs w:val="21"/>
                <w:lang w:eastAsia="en-US"/>
              </w:rPr>
              <w:t>急 性 毒 性 LC50850mg/m3，1 小 时(大鼠吸入)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3116"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氢</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H</w:t>
            </w:r>
            <w:r>
              <w:rPr>
                <w:rFonts w:eastAsia="仿宋" w:cs="Times New Roman"/>
                <w:kern w:val="0"/>
                <w:sz w:val="21"/>
                <w:szCs w:val="21"/>
                <w:vertAlign w:val="subscript"/>
                <w:lang w:eastAsia="en-US"/>
              </w:rPr>
              <w:t>2</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分子量：2</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易燃气体</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无色无味气体，熔点-259.2</w:t>
            </w:r>
            <w:r>
              <w:rPr>
                <w:rFonts w:hint="eastAsia" w:ascii="宋体" w:hAnsi="宋体" w:cs="宋体"/>
                <w:kern w:val="0"/>
                <w:sz w:val="21"/>
                <w:szCs w:val="21"/>
                <w:lang w:eastAsia="zh-CN"/>
              </w:rPr>
              <w:t>℃</w:t>
            </w:r>
            <w:r>
              <w:rPr>
                <w:rFonts w:eastAsia="仿宋" w:cs="Times New Roman"/>
                <w:kern w:val="0"/>
                <w:sz w:val="21"/>
                <w:szCs w:val="21"/>
                <w:lang w:eastAsia="zh-CN"/>
              </w:rPr>
              <w:t xml:space="preserve"> 沸点-252.8</w:t>
            </w:r>
            <w:r>
              <w:rPr>
                <w:rFonts w:hint="eastAsia" w:ascii="宋体" w:hAnsi="宋体" w:cs="宋体"/>
                <w:kern w:val="0"/>
                <w:sz w:val="21"/>
                <w:szCs w:val="21"/>
                <w:lang w:eastAsia="zh-CN"/>
              </w:rPr>
              <w:t>℃</w:t>
            </w:r>
            <w:r>
              <w:rPr>
                <w:rFonts w:eastAsia="仿宋" w:cs="Times New Roman"/>
                <w:kern w:val="0"/>
                <w:sz w:val="21"/>
                <w:szCs w:val="21"/>
                <w:lang w:eastAsia="zh-CN"/>
              </w:rPr>
              <w:t>， 蒸汽压 13.33kPa/-257.9</w:t>
            </w:r>
            <w:r>
              <w:rPr>
                <w:rFonts w:hint="eastAsia" w:ascii="宋体" w:hAnsi="宋体" w:cs="宋体"/>
                <w:kern w:val="0"/>
                <w:sz w:val="21"/>
                <w:szCs w:val="21"/>
                <w:lang w:eastAsia="zh-CN"/>
              </w:rPr>
              <w:t>℃</w:t>
            </w:r>
            <w:r>
              <w:rPr>
                <w:rFonts w:eastAsia="仿宋" w:cs="Times New Roman"/>
                <w:kern w:val="0"/>
                <w:sz w:val="21"/>
                <w:szCs w:val="21"/>
                <w:lang w:eastAsia="zh-CN"/>
              </w:rPr>
              <w:t xml:space="preserve"> 闪点&lt;-50</w:t>
            </w:r>
            <w:r>
              <w:rPr>
                <w:rFonts w:hint="eastAsia" w:ascii="宋体" w:hAnsi="宋体" w:cs="宋体"/>
                <w:kern w:val="0"/>
                <w:sz w:val="21"/>
                <w:szCs w:val="21"/>
                <w:lang w:eastAsia="zh-CN"/>
              </w:rPr>
              <w:t>℃</w:t>
            </w:r>
            <w:r>
              <w:rPr>
                <w:rFonts w:eastAsia="仿宋" w:cs="Times New Roman"/>
                <w:kern w:val="0"/>
                <w:sz w:val="21"/>
                <w:szCs w:val="21"/>
                <w:lang w:eastAsia="zh-CN"/>
              </w:rPr>
              <w:t>，不溶于 水 ， 不 溶 于 乙 醇 、 乙 醚 ， 相 对 密 度 ( 水=1)0.07(-252</w:t>
            </w:r>
            <w:r>
              <w:rPr>
                <w:rFonts w:hint="eastAsia" w:ascii="宋体" w:hAnsi="宋体" w:cs="宋体"/>
                <w:kern w:val="0"/>
                <w:sz w:val="21"/>
                <w:szCs w:val="21"/>
                <w:lang w:eastAsia="zh-CN"/>
              </w:rPr>
              <w:t>℃</w:t>
            </w:r>
            <w:r>
              <w:rPr>
                <w:rFonts w:eastAsia="仿宋" w:cs="Times New Roman"/>
                <w:kern w:val="0"/>
                <w:sz w:val="21"/>
                <w:szCs w:val="21"/>
                <w:lang w:eastAsia="zh-CN"/>
              </w:rPr>
              <w:t>)；相对密度(空气=1)0.07，用于合成氨和甲醇等，石油精制，有机物氢化及火 箭燃料</w:t>
            </w:r>
          </w:p>
        </w:tc>
        <w:tc>
          <w:tcPr>
            <w:tcW w:w="1254" w:type="pct"/>
            <w:vAlign w:val="center"/>
          </w:tcPr>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危险特性：与空气混合能形成爆炸性混合物，遇热或明火即会发生爆炸。气体 比空气轻，在室内使用和储存时，漏气 上升滞留屋顶不易排出，遇火星会引起 爆炸。氢气与氟、氯、溴等卤素会剧烈 反应。</w:t>
            </w:r>
          </w:p>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燃烧(分解)产物：水。</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2551"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氯化氢</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HCl</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分子量：36.5</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有毒物质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无色有刺激性气味的气体，分子量 36.46，蒸汽压4225.6kPa(20</w:t>
            </w:r>
            <w:r>
              <w:rPr>
                <w:rFonts w:hint="eastAsia" w:ascii="宋体" w:hAnsi="宋体" w:cs="宋体"/>
                <w:kern w:val="0"/>
                <w:sz w:val="21"/>
                <w:szCs w:val="21"/>
                <w:lang w:eastAsia="zh-CN"/>
              </w:rPr>
              <w:t>℃</w:t>
            </w:r>
            <w:r>
              <w:rPr>
                <w:rFonts w:eastAsia="仿宋" w:cs="Times New Roman"/>
                <w:kern w:val="0"/>
                <w:sz w:val="21"/>
                <w:szCs w:val="21"/>
                <w:lang w:eastAsia="zh-CN"/>
              </w:rPr>
              <w:t>) ， 熔 点 -114.2</w:t>
            </w:r>
            <w:r>
              <w:rPr>
                <w:rFonts w:hint="eastAsia" w:ascii="宋体" w:hAnsi="宋体" w:cs="宋体"/>
                <w:kern w:val="0"/>
                <w:sz w:val="21"/>
                <w:szCs w:val="21"/>
                <w:lang w:eastAsia="zh-CN"/>
              </w:rPr>
              <w:t>℃</w:t>
            </w:r>
            <w:r>
              <w:rPr>
                <w:rFonts w:eastAsia="仿宋" w:cs="Times New Roman"/>
                <w:kern w:val="0"/>
                <w:sz w:val="21"/>
                <w:szCs w:val="21"/>
                <w:lang w:eastAsia="zh-CN"/>
              </w:rPr>
              <w:t xml:space="preserve"> 沸 点 ：-85.0</w:t>
            </w:r>
            <w:r>
              <w:rPr>
                <w:rFonts w:hint="eastAsia" w:ascii="宋体" w:hAnsi="宋体" w:cs="宋体"/>
                <w:kern w:val="0"/>
                <w:sz w:val="21"/>
                <w:szCs w:val="21"/>
                <w:lang w:eastAsia="zh-CN"/>
              </w:rPr>
              <w:t>℃</w:t>
            </w:r>
            <w:r>
              <w:rPr>
                <w:rFonts w:eastAsia="仿宋" w:cs="Times New Roman"/>
                <w:kern w:val="0"/>
                <w:sz w:val="21"/>
                <w:szCs w:val="21"/>
                <w:lang w:eastAsia="zh-CN"/>
              </w:rPr>
              <w:t>，易溶于水，相对密度(水=1)1.19；相 对密度(空气=1)1.27</w:t>
            </w:r>
          </w:p>
        </w:tc>
        <w:tc>
          <w:tcPr>
            <w:tcW w:w="1254" w:type="pct"/>
            <w:vAlign w:val="center"/>
          </w:tcPr>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无水氯化氢无腐蚀性，但遇水时有强腐 蚀性。能与一些活性金属粉末发生反应， 放出氢气。遇氰化物能产生居毒的氰化 氢气体。</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急 性 毒 性 ： LD50400mg/kg(兔经 口)</w:t>
            </w:r>
            <w:r>
              <w:rPr>
                <w:rFonts w:eastAsia="仿宋" w:cs="Times New Roman"/>
                <w:kern w:val="0"/>
                <w:sz w:val="21"/>
                <w:szCs w:val="21"/>
                <w:lang w:eastAsia="en-US"/>
              </w:rPr>
              <w:tab/>
            </w:r>
            <w:r>
              <w:rPr>
                <w:rFonts w:eastAsia="仿宋" w:cs="Times New Roman"/>
                <w:kern w:val="0"/>
                <w:sz w:val="21"/>
                <w:szCs w:val="21"/>
                <w:lang w:eastAsia="en-US"/>
              </w:rPr>
              <w:t>； LC504600mg/m3 ， 1小时(大鼠吸入)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3693"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氯磺酸</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HClO</w:t>
            </w:r>
            <w:r>
              <w:rPr>
                <w:rFonts w:eastAsia="仿宋" w:cs="Times New Roman"/>
                <w:kern w:val="0"/>
                <w:sz w:val="21"/>
                <w:szCs w:val="21"/>
                <w:vertAlign w:val="subscript"/>
                <w:lang w:eastAsia="en-US"/>
              </w:rPr>
              <w:t>3</w:t>
            </w:r>
            <w:r>
              <w:rPr>
                <w:rFonts w:eastAsia="仿宋" w:cs="Times New Roman"/>
                <w:kern w:val="0"/>
                <w:sz w:val="21"/>
                <w:szCs w:val="21"/>
                <w:lang w:eastAsia="en-US"/>
              </w:rPr>
              <w:t>S</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分子量：116.5</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腐 蚀 性 物 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无色半油状液体，有极浓的刺激性气味。熔点-80</w:t>
            </w:r>
            <w:r>
              <w:rPr>
                <w:rFonts w:hint="eastAsia" w:ascii="宋体" w:hAnsi="宋体" w:cs="宋体"/>
                <w:kern w:val="0"/>
                <w:sz w:val="21"/>
                <w:szCs w:val="21"/>
                <w:lang w:eastAsia="zh-CN"/>
              </w:rPr>
              <w:t>℃</w:t>
            </w:r>
            <w:r>
              <w:rPr>
                <w:rFonts w:eastAsia="仿宋" w:cs="Times New Roman"/>
                <w:kern w:val="0"/>
                <w:sz w:val="21"/>
                <w:szCs w:val="21"/>
                <w:lang w:eastAsia="zh-CN"/>
              </w:rPr>
              <w:t>，沸点 151</w:t>
            </w:r>
            <w:r>
              <w:rPr>
                <w:rFonts w:hint="eastAsia" w:ascii="宋体" w:hAnsi="宋体" w:cs="宋体"/>
                <w:kern w:val="0"/>
                <w:sz w:val="21"/>
                <w:szCs w:val="21"/>
                <w:lang w:eastAsia="zh-CN"/>
              </w:rPr>
              <w:t>℃</w:t>
            </w:r>
            <w:r>
              <w:rPr>
                <w:rFonts w:eastAsia="仿宋" w:cs="Times New Roman"/>
                <w:kern w:val="0"/>
                <w:sz w:val="21"/>
                <w:szCs w:val="21"/>
                <w:lang w:eastAsia="zh-CN"/>
              </w:rPr>
              <w:t>，不溶于二硫化碳、四氯化 碳，溶于氯仿、乙酸。</w:t>
            </w:r>
          </w:p>
        </w:tc>
        <w:tc>
          <w:tcPr>
            <w:tcW w:w="1254" w:type="pct"/>
            <w:vAlign w:val="center"/>
          </w:tcPr>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助燃，具强腐蚀性、强刺激性，可致人体灼伤。强氧化剂。遇水猛烈分解,  产生大量的热和浓烟,  甚至爆炸。在潮湿空气中</w:t>
            </w:r>
          </w:p>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zh-CN"/>
              </w:rPr>
              <w:t>与金属接触，能腐蚀金属并放出氢气，容 易燃烧爆炸。与易燃物（如苯）和可燃物（如糖、纤维素等）接触会发生剧烈反应甚至引起燃烧。</w:t>
            </w:r>
            <w:r>
              <w:rPr>
                <w:rFonts w:eastAsia="仿宋" w:cs="Times New Roman"/>
                <w:spacing w:val="2"/>
                <w:kern w:val="0"/>
                <w:sz w:val="21"/>
                <w:szCs w:val="21"/>
                <w:lang w:eastAsia="en-US"/>
              </w:rPr>
              <w:t>具有强腐蚀性。</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无资料</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1847"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氮气</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w:t>
            </w:r>
            <w:r>
              <w:rPr>
                <w:rFonts w:eastAsia="仿宋" w:cs="Times New Roman"/>
                <w:kern w:val="0"/>
                <w:sz w:val="21"/>
                <w:szCs w:val="21"/>
                <w:vertAlign w:val="subscript"/>
                <w:lang w:eastAsia="en-US"/>
              </w:rPr>
              <w:t>2</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分子量：28</w:t>
            </w:r>
          </w:p>
        </w:tc>
        <w:tc>
          <w:tcPr>
            <w:tcW w:w="337" w:type="pct"/>
            <w:vAlign w:val="center"/>
          </w:tcPr>
          <w:p>
            <w:pPr>
              <w:autoSpaceDE w:val="0"/>
              <w:autoSpaceDN w:val="0"/>
              <w:jc w:val="center"/>
              <w:rPr>
                <w:rFonts w:eastAsia="仿宋" w:cs="Times New Roman"/>
                <w:kern w:val="0"/>
                <w:sz w:val="21"/>
                <w:szCs w:val="21"/>
                <w:lang w:eastAsia="en-US"/>
              </w:rPr>
            </w:pP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无色无臭气体。熔点-209.8</w:t>
            </w:r>
            <w:r>
              <w:rPr>
                <w:rFonts w:hint="eastAsia" w:ascii="宋体" w:hAnsi="宋体" w:cs="宋体"/>
                <w:kern w:val="0"/>
                <w:sz w:val="21"/>
                <w:szCs w:val="21"/>
                <w:lang w:eastAsia="zh-CN"/>
              </w:rPr>
              <w:t>℃</w:t>
            </w:r>
            <w:r>
              <w:rPr>
                <w:rFonts w:eastAsia="仿宋" w:cs="Times New Roman"/>
                <w:kern w:val="0"/>
                <w:sz w:val="21"/>
                <w:szCs w:val="21"/>
                <w:lang w:eastAsia="zh-CN"/>
              </w:rPr>
              <w:t>，沸点-195.6</w:t>
            </w:r>
            <w:r>
              <w:rPr>
                <w:rFonts w:hint="eastAsia" w:ascii="宋体" w:hAnsi="宋体" w:cs="宋体"/>
                <w:kern w:val="0"/>
                <w:sz w:val="21"/>
                <w:szCs w:val="21"/>
                <w:lang w:eastAsia="zh-CN"/>
              </w:rPr>
              <w:t>℃</w:t>
            </w:r>
            <w:r>
              <w:rPr>
                <w:rFonts w:eastAsia="仿宋" w:cs="Times New Roman"/>
                <w:kern w:val="0"/>
                <w:sz w:val="21"/>
                <w:szCs w:val="21"/>
                <w:lang w:eastAsia="zh-CN"/>
              </w:rPr>
              <w:t>，微溶于水、乙醇。</w:t>
            </w:r>
          </w:p>
        </w:tc>
        <w:tc>
          <w:tcPr>
            <w:tcW w:w="1254" w:type="pct"/>
            <w:vAlign w:val="center"/>
          </w:tcPr>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不燃，若遇高热，容器内压增大，有开裂和爆炸的危险。空气中氮气含量过高，使吸入气氧分压下降，引起缺氧窒息。</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无资料</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1277"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亚硫酸钠</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Na</w:t>
            </w:r>
            <w:r>
              <w:rPr>
                <w:rFonts w:eastAsia="仿宋" w:cs="Times New Roman"/>
                <w:kern w:val="0"/>
                <w:sz w:val="21"/>
                <w:szCs w:val="21"/>
                <w:vertAlign w:val="subscript"/>
                <w:lang w:eastAsia="en-US"/>
              </w:rPr>
              <w:t>2</w:t>
            </w:r>
            <w:r>
              <w:rPr>
                <w:rFonts w:eastAsia="仿宋" w:cs="Times New Roman"/>
                <w:kern w:val="0"/>
                <w:sz w:val="21"/>
                <w:szCs w:val="21"/>
                <w:lang w:eastAsia="en-US"/>
              </w:rPr>
              <w:t>SO</w:t>
            </w:r>
            <w:r>
              <w:rPr>
                <w:rFonts w:eastAsia="仿宋" w:cs="Times New Roman"/>
                <w:kern w:val="0"/>
                <w:sz w:val="21"/>
                <w:szCs w:val="21"/>
                <w:vertAlign w:val="subscript"/>
                <w:lang w:eastAsia="en-US"/>
              </w:rPr>
              <w:t>3</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分子量：126</w:t>
            </w:r>
          </w:p>
        </w:tc>
        <w:tc>
          <w:tcPr>
            <w:tcW w:w="337" w:type="pct"/>
            <w:vAlign w:val="center"/>
          </w:tcPr>
          <w:p>
            <w:pPr>
              <w:autoSpaceDE w:val="0"/>
              <w:autoSpaceDN w:val="0"/>
              <w:jc w:val="center"/>
              <w:rPr>
                <w:rFonts w:eastAsia="仿宋" w:cs="Times New Roman"/>
                <w:kern w:val="0"/>
                <w:sz w:val="21"/>
                <w:szCs w:val="21"/>
                <w:lang w:eastAsia="en-US"/>
              </w:rPr>
            </w:pP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无色、单斜晶体或粉末。无色、单斜晶体或粉末。</w:t>
            </w:r>
          </w:p>
        </w:tc>
        <w:tc>
          <w:tcPr>
            <w:tcW w:w="1254" w:type="pct"/>
            <w:vAlign w:val="center"/>
          </w:tcPr>
          <w:p>
            <w:pPr>
              <w:autoSpaceDE w:val="0"/>
              <w:autoSpaceDN w:val="0"/>
              <w:jc w:val="center"/>
              <w:rPr>
                <w:rFonts w:eastAsia="仿宋" w:cs="Times New Roman"/>
                <w:spacing w:val="2"/>
                <w:kern w:val="0"/>
                <w:sz w:val="21"/>
                <w:szCs w:val="21"/>
                <w:lang w:eastAsia="zh-CN"/>
              </w:rPr>
            </w:pPr>
            <w:r>
              <w:rPr>
                <w:rFonts w:eastAsia="仿宋" w:cs="Times New Roman"/>
                <w:spacing w:val="2"/>
                <w:kern w:val="0"/>
                <w:sz w:val="21"/>
                <w:szCs w:val="21"/>
                <w:lang w:eastAsia="zh-CN"/>
              </w:rPr>
              <w:t>不燃，具刺激性。未有特殊的燃烧爆炸特性。受高热分解产生有毒的硫化物烟气。</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无资料</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1848"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纯碱</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（碳酸钠）</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Na</w:t>
            </w:r>
            <w:r>
              <w:rPr>
                <w:rFonts w:eastAsia="仿宋" w:cs="Times New Roman"/>
                <w:kern w:val="0"/>
                <w:sz w:val="21"/>
                <w:szCs w:val="21"/>
                <w:vertAlign w:val="subscript"/>
                <w:lang w:eastAsia="en-US"/>
              </w:rPr>
              <w:t>2</w:t>
            </w:r>
            <w:r>
              <w:rPr>
                <w:rFonts w:eastAsia="仿宋" w:cs="Times New Roman"/>
                <w:kern w:val="0"/>
                <w:sz w:val="21"/>
                <w:szCs w:val="21"/>
                <w:lang w:eastAsia="en-US"/>
              </w:rPr>
              <w:t>CO</w:t>
            </w:r>
            <w:r>
              <w:rPr>
                <w:rFonts w:eastAsia="仿宋" w:cs="Times New Roman"/>
                <w:kern w:val="0"/>
                <w:sz w:val="21"/>
                <w:szCs w:val="21"/>
                <w:vertAlign w:val="subscript"/>
                <w:lang w:eastAsia="en-US"/>
              </w:rPr>
              <w:t>3</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分子量：106</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有毒物质</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纯品是白色粉末或细粒，熔点 851</w:t>
            </w:r>
            <w:r>
              <w:rPr>
                <w:rFonts w:hint="eastAsia" w:ascii="宋体" w:hAnsi="宋体" w:cs="宋体"/>
                <w:kern w:val="0"/>
                <w:sz w:val="21"/>
                <w:szCs w:val="21"/>
                <w:lang w:eastAsia="zh-CN"/>
              </w:rPr>
              <w:t>℃</w:t>
            </w:r>
            <w:r>
              <w:rPr>
                <w:rFonts w:eastAsia="仿宋" w:cs="Times New Roman"/>
                <w:kern w:val="0"/>
                <w:sz w:val="21"/>
                <w:szCs w:val="21"/>
                <w:lang w:eastAsia="zh-CN"/>
              </w:rPr>
              <w:t>。易溶于 水，微溶于无水乙醇，不溶于丙醇。</w:t>
            </w:r>
          </w:p>
        </w:tc>
        <w:tc>
          <w:tcPr>
            <w:tcW w:w="1254" w:type="pct"/>
            <w:vAlign w:val="center"/>
          </w:tcPr>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en-US"/>
              </w:rPr>
              <w:t>具有刺激性和腐蚀性</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急性毒性： LD50：</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4090 mg/kg(大鼠经 口) LC50：2300mg/m3，2 小时(大鼠吸入)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2399"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双氧水</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H</w:t>
            </w:r>
            <w:r>
              <w:rPr>
                <w:rFonts w:eastAsia="仿宋" w:cs="Times New Roman"/>
                <w:kern w:val="0"/>
                <w:sz w:val="21"/>
                <w:szCs w:val="21"/>
                <w:vertAlign w:val="subscript"/>
                <w:lang w:eastAsia="en-US"/>
              </w:rPr>
              <w:t>2</w:t>
            </w:r>
            <w:r>
              <w:rPr>
                <w:rFonts w:eastAsia="仿宋" w:cs="Times New Roman"/>
                <w:kern w:val="0"/>
                <w:sz w:val="21"/>
                <w:szCs w:val="21"/>
                <w:lang w:eastAsia="en-US"/>
              </w:rPr>
              <w:t>O</w:t>
            </w:r>
            <w:r>
              <w:rPr>
                <w:rFonts w:eastAsia="仿宋" w:cs="Times New Roman"/>
                <w:kern w:val="0"/>
                <w:sz w:val="21"/>
                <w:szCs w:val="21"/>
                <w:vertAlign w:val="subscript"/>
                <w:lang w:eastAsia="en-US"/>
              </w:rPr>
              <w:t>2</w:t>
            </w:r>
          </w:p>
        </w:tc>
        <w:tc>
          <w:tcPr>
            <w:tcW w:w="337"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爆炸性强氧化剂</w:t>
            </w: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水溶液为无色透明液体，溶于水、醇、乙醚，不溶于苯、石油醚；纯过氧化氢是淡蓝色的粘 稠液体，熔点-0.43  °C，沸点 150.2 °C，纯的过氧化氢其分子构型会改变，所以熔沸点也会发生变化。</w:t>
            </w:r>
          </w:p>
        </w:tc>
        <w:tc>
          <w:tcPr>
            <w:tcW w:w="1254" w:type="pct"/>
            <w:vAlign w:val="center"/>
          </w:tcPr>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en-US"/>
              </w:rPr>
              <w:t>助燃，具有刺激性</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LD50 4060mg/kg</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（大鼠经皮）；LC50 2000mg/m3，4 小时</w:t>
            </w:r>
          </w:p>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（大鼠吸入）</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sz="4" w:space="0"/>
            <w:insideV w:val="single" w:color="000000" w:sz="4" w:space="0"/>
          </w:tblBorders>
          <w:tblCellMar>
            <w:top w:w="0" w:type="dxa"/>
            <w:left w:w="0" w:type="dxa"/>
            <w:bottom w:w="0" w:type="dxa"/>
            <w:right w:w="0" w:type="dxa"/>
          </w:tblCellMar>
        </w:tblPrEx>
        <w:trPr>
          <w:trHeight w:val="855" w:hRule="exact"/>
        </w:trPr>
        <w:tc>
          <w:tcPr>
            <w:tcW w:w="329"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液氨</w:t>
            </w:r>
          </w:p>
        </w:tc>
        <w:tc>
          <w:tcPr>
            <w:tcW w:w="651"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NH</w:t>
            </w:r>
            <w:r>
              <w:rPr>
                <w:rFonts w:eastAsia="仿宋" w:cs="Times New Roman"/>
                <w:kern w:val="0"/>
                <w:sz w:val="21"/>
                <w:szCs w:val="21"/>
                <w:vertAlign w:val="subscript"/>
                <w:lang w:eastAsia="en-US"/>
              </w:rPr>
              <w:t>3</w:t>
            </w:r>
          </w:p>
        </w:tc>
        <w:tc>
          <w:tcPr>
            <w:tcW w:w="337" w:type="pct"/>
            <w:vAlign w:val="center"/>
          </w:tcPr>
          <w:p>
            <w:pPr>
              <w:autoSpaceDE w:val="0"/>
              <w:autoSpaceDN w:val="0"/>
              <w:jc w:val="center"/>
              <w:rPr>
                <w:rFonts w:eastAsia="仿宋" w:cs="Times New Roman"/>
                <w:kern w:val="0"/>
                <w:sz w:val="21"/>
                <w:szCs w:val="21"/>
                <w:lang w:eastAsia="en-US"/>
              </w:rPr>
            </w:pPr>
          </w:p>
        </w:tc>
        <w:tc>
          <w:tcPr>
            <w:tcW w:w="1452" w:type="pct"/>
            <w:vAlign w:val="center"/>
          </w:tcPr>
          <w:p>
            <w:pPr>
              <w:autoSpaceDE w:val="0"/>
              <w:autoSpaceDN w:val="0"/>
              <w:jc w:val="center"/>
              <w:rPr>
                <w:rFonts w:eastAsia="仿宋" w:cs="Times New Roman"/>
                <w:kern w:val="0"/>
                <w:sz w:val="21"/>
                <w:szCs w:val="21"/>
                <w:lang w:eastAsia="zh-CN"/>
              </w:rPr>
            </w:pPr>
            <w:r>
              <w:rPr>
                <w:rFonts w:eastAsia="仿宋" w:cs="Times New Roman"/>
                <w:kern w:val="0"/>
                <w:sz w:val="21"/>
                <w:szCs w:val="21"/>
                <w:lang w:eastAsia="zh-CN"/>
              </w:rPr>
              <w:t>无色的液体，熔点-77.7  °C，沸点-33.4 °C，溶于水。</w:t>
            </w:r>
          </w:p>
        </w:tc>
        <w:tc>
          <w:tcPr>
            <w:tcW w:w="1254" w:type="pct"/>
            <w:vAlign w:val="center"/>
          </w:tcPr>
          <w:p>
            <w:pPr>
              <w:autoSpaceDE w:val="0"/>
              <w:autoSpaceDN w:val="0"/>
              <w:jc w:val="center"/>
              <w:rPr>
                <w:rFonts w:eastAsia="仿宋" w:cs="Times New Roman"/>
                <w:spacing w:val="2"/>
                <w:kern w:val="0"/>
                <w:sz w:val="21"/>
                <w:szCs w:val="21"/>
                <w:lang w:eastAsia="en-US"/>
              </w:rPr>
            </w:pPr>
            <w:r>
              <w:rPr>
                <w:rFonts w:eastAsia="仿宋" w:cs="Times New Roman"/>
                <w:spacing w:val="2"/>
                <w:kern w:val="0"/>
                <w:sz w:val="21"/>
                <w:szCs w:val="21"/>
                <w:lang w:eastAsia="en-US"/>
              </w:rPr>
              <w:t>/</w:t>
            </w:r>
          </w:p>
        </w:tc>
        <w:tc>
          <w:tcPr>
            <w:tcW w:w="976" w:type="pct"/>
            <w:vAlign w:val="center"/>
          </w:tcPr>
          <w:p>
            <w:pPr>
              <w:autoSpaceDE w:val="0"/>
              <w:autoSpaceDN w:val="0"/>
              <w:jc w:val="center"/>
              <w:rPr>
                <w:rFonts w:eastAsia="仿宋" w:cs="Times New Roman"/>
                <w:kern w:val="0"/>
                <w:sz w:val="21"/>
                <w:szCs w:val="21"/>
                <w:lang w:eastAsia="en-US"/>
              </w:rPr>
            </w:pPr>
            <w:r>
              <w:rPr>
                <w:rFonts w:eastAsia="仿宋" w:cs="Times New Roman"/>
                <w:kern w:val="0"/>
                <w:sz w:val="21"/>
                <w:szCs w:val="21"/>
                <w:lang w:eastAsia="en-US"/>
              </w:rPr>
              <w:t>LD50：0.15mg/kg</w:t>
            </w:r>
          </w:p>
        </w:tc>
      </w:tr>
    </w:tbl>
    <w:p>
      <w:pPr>
        <w:pStyle w:val="4"/>
        <w:spacing w:before="31" w:beforeLines="10" w:after="31" w:afterLines="10" w:line="360" w:lineRule="auto"/>
        <w:rPr>
          <w:rFonts w:ascii="Times New Roman" w:hAnsi="Times New Roman" w:eastAsia="仿宋"/>
          <w:sz w:val="24"/>
          <w:szCs w:val="24"/>
        </w:rPr>
      </w:pPr>
    </w:p>
    <w:p>
      <w:pPr>
        <w:pStyle w:val="4"/>
        <w:spacing w:before="31" w:beforeLines="10" w:after="31" w:afterLines="10" w:line="360" w:lineRule="auto"/>
        <w:rPr>
          <w:rFonts w:ascii="Times New Roman" w:hAnsi="Times New Roman" w:eastAsia="仿宋"/>
          <w:sz w:val="24"/>
          <w:szCs w:val="24"/>
        </w:rPr>
      </w:pPr>
      <w:bookmarkStart w:id="146" w:name="_Toc27420"/>
      <w:r>
        <w:rPr>
          <w:rFonts w:ascii="Times New Roman" w:hAnsi="Times New Roman" w:eastAsia="仿宋"/>
          <w:sz w:val="24"/>
          <w:szCs w:val="24"/>
        </w:rPr>
        <w:t xml:space="preserve">2.5.3 </w:t>
      </w:r>
      <w:bookmarkEnd w:id="141"/>
      <w:bookmarkEnd w:id="142"/>
      <w:bookmarkEnd w:id="143"/>
      <w:bookmarkEnd w:id="144"/>
      <w:bookmarkEnd w:id="145"/>
      <w:r>
        <w:rPr>
          <w:rFonts w:hint="eastAsia" w:ascii="Times New Roman" w:hAnsi="Times New Roman" w:eastAsia="仿宋"/>
          <w:sz w:val="24"/>
          <w:szCs w:val="24"/>
        </w:rPr>
        <w:t>生产工艺流程及产排污环节</w:t>
      </w:r>
      <w:bookmarkEnd w:id="146"/>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公司主要生产内容为硫磺制酸，氯系列产品，氯磺酸及余热发电。</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1．硫酸生产</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（1）工艺原理：主要工艺步骤包括硫磺（S）在空气中燃烧形成二氧化硫（SO</w:t>
      </w:r>
      <w:r>
        <w:rPr>
          <w:rFonts w:hint="eastAsia" w:ascii="仿宋" w:hAnsi="仿宋" w:eastAsia="仿宋" w:cs="仿宋"/>
          <w:sz w:val="24"/>
          <w:szCs w:val="24"/>
          <w:vertAlign w:val="subscript"/>
        </w:rPr>
        <w:t>2</w:t>
      </w:r>
      <w:r>
        <w:rPr>
          <w:rFonts w:hint="eastAsia" w:ascii="仿宋" w:hAnsi="仿宋" w:eastAsia="仿宋" w:cs="仿宋"/>
          <w:sz w:val="24"/>
          <w:szCs w:val="24"/>
        </w:rPr>
        <w:t>），二氧化硫和氧气（O</w:t>
      </w:r>
      <w:r>
        <w:rPr>
          <w:rFonts w:hint="eastAsia" w:ascii="仿宋" w:hAnsi="仿宋" w:eastAsia="仿宋" w:cs="仿宋"/>
          <w:sz w:val="24"/>
          <w:szCs w:val="24"/>
          <w:vertAlign w:val="subscript"/>
        </w:rPr>
        <w:t>2</w:t>
      </w:r>
      <w:r>
        <w:rPr>
          <w:rFonts w:hint="eastAsia" w:ascii="仿宋" w:hAnsi="仿宋" w:eastAsia="仿宋" w:cs="仿宋"/>
          <w:sz w:val="24"/>
          <w:szCs w:val="24"/>
        </w:rPr>
        <w:t>）结合生成三氧化硫（SO</w:t>
      </w:r>
      <w:r>
        <w:rPr>
          <w:rFonts w:hint="eastAsia" w:ascii="仿宋" w:hAnsi="仿宋" w:eastAsia="仿宋" w:cs="仿宋"/>
          <w:sz w:val="24"/>
          <w:szCs w:val="24"/>
          <w:vertAlign w:val="subscript"/>
        </w:rPr>
        <w:t>3</w:t>
      </w:r>
      <w:r>
        <w:rPr>
          <w:rFonts w:hint="eastAsia" w:ascii="仿宋" w:hAnsi="仿宋" w:eastAsia="仿宋" w:cs="仿宋"/>
          <w:sz w:val="24"/>
          <w:szCs w:val="24"/>
        </w:rPr>
        <w:t>），SO</w:t>
      </w:r>
      <w:r>
        <w:rPr>
          <w:rFonts w:hint="eastAsia" w:ascii="仿宋" w:hAnsi="仿宋" w:eastAsia="仿宋" w:cs="仿宋"/>
          <w:sz w:val="24"/>
          <w:szCs w:val="24"/>
          <w:vertAlign w:val="subscript"/>
        </w:rPr>
        <w:t>3</w:t>
      </w:r>
      <w:r>
        <w:rPr>
          <w:rFonts w:hint="eastAsia" w:ascii="仿宋" w:hAnsi="仿宋" w:eastAsia="仿宋" w:cs="仿宋"/>
          <w:sz w:val="24"/>
          <w:szCs w:val="24"/>
        </w:rPr>
        <w:t>再结合水分（H</w:t>
      </w:r>
      <w:r>
        <w:rPr>
          <w:rFonts w:hint="eastAsia" w:ascii="仿宋" w:hAnsi="仿宋" w:eastAsia="仿宋" w:cs="仿宋"/>
          <w:sz w:val="24"/>
          <w:szCs w:val="24"/>
          <w:vertAlign w:val="subscript"/>
        </w:rPr>
        <w:t>2</w:t>
      </w:r>
      <w:r>
        <w:rPr>
          <w:rFonts w:hint="eastAsia" w:ascii="仿宋" w:hAnsi="仿宋" w:eastAsia="仿宋" w:cs="仿宋"/>
          <w:sz w:val="24"/>
          <w:szCs w:val="24"/>
        </w:rPr>
        <w:t>O）形成硫酸（H</w:t>
      </w:r>
      <w:r>
        <w:rPr>
          <w:rFonts w:hint="eastAsia" w:ascii="仿宋" w:hAnsi="仿宋" w:eastAsia="仿宋" w:cs="仿宋"/>
          <w:sz w:val="24"/>
          <w:szCs w:val="24"/>
          <w:vertAlign w:val="subscript"/>
        </w:rPr>
        <w:t>2</w:t>
      </w:r>
      <w:r>
        <w:rPr>
          <w:rFonts w:hint="eastAsia" w:ascii="仿宋" w:hAnsi="仿宋" w:eastAsia="仿宋" w:cs="仿宋"/>
          <w:sz w:val="24"/>
          <w:szCs w:val="24"/>
        </w:rPr>
        <w:t>SO</w:t>
      </w:r>
      <w:r>
        <w:rPr>
          <w:rFonts w:hint="eastAsia" w:ascii="仿宋" w:hAnsi="仿宋" w:eastAsia="仿宋" w:cs="仿宋"/>
          <w:sz w:val="24"/>
          <w:szCs w:val="24"/>
          <w:vertAlign w:val="subscript"/>
        </w:rPr>
        <w:t>4</w:t>
      </w:r>
      <w:r>
        <w:rPr>
          <w:rFonts w:hint="eastAsia" w:ascii="仿宋" w:hAnsi="仿宋" w:eastAsia="仿宋" w:cs="仿宋"/>
          <w:sz w:val="24"/>
          <w:szCs w:val="24"/>
        </w:rPr>
        <w:t>）。以下为化学反应方程式：</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S + O</w:t>
      </w:r>
      <w:r>
        <w:rPr>
          <w:rFonts w:hint="eastAsia" w:ascii="仿宋" w:hAnsi="仿宋" w:eastAsia="仿宋" w:cs="仿宋"/>
          <w:sz w:val="24"/>
          <w:szCs w:val="24"/>
          <w:vertAlign w:val="subscript"/>
        </w:rPr>
        <w:t>2</w:t>
      </w:r>
      <w:r>
        <w:rPr>
          <w:rFonts w:hint="eastAsia" w:ascii="仿宋" w:hAnsi="仿宋" w:eastAsia="仿宋" w:cs="仿宋"/>
          <w:sz w:val="24"/>
          <w:szCs w:val="24"/>
        </w:rPr>
        <w:t>→SO</w:t>
      </w:r>
      <w:r>
        <w:rPr>
          <w:rFonts w:hint="eastAsia" w:ascii="仿宋" w:hAnsi="仿宋" w:eastAsia="仿宋" w:cs="仿宋"/>
          <w:sz w:val="24"/>
          <w:szCs w:val="24"/>
          <w:vertAlign w:val="subscript"/>
        </w:rPr>
        <w:t>2</w:t>
      </w:r>
      <w:r>
        <w:rPr>
          <w:rFonts w:hint="eastAsia" w:ascii="仿宋" w:hAnsi="仿宋" w:eastAsia="仿宋" w:cs="仿宋"/>
          <w:sz w:val="24"/>
          <w:szCs w:val="24"/>
        </w:rPr>
        <w:t>； SO</w:t>
      </w:r>
      <w:r>
        <w:rPr>
          <w:rFonts w:hint="eastAsia" w:ascii="仿宋" w:hAnsi="仿宋" w:eastAsia="仿宋" w:cs="仿宋"/>
          <w:sz w:val="24"/>
          <w:szCs w:val="24"/>
          <w:vertAlign w:val="subscript"/>
        </w:rPr>
        <w:t>2</w:t>
      </w:r>
      <w:r>
        <w:rPr>
          <w:rFonts w:hint="eastAsia" w:ascii="仿宋" w:hAnsi="仿宋" w:eastAsia="仿宋" w:cs="仿宋"/>
          <w:sz w:val="24"/>
          <w:szCs w:val="24"/>
        </w:rPr>
        <w:t xml:space="preserve"> + 1/2 O</w:t>
      </w:r>
      <w:r>
        <w:rPr>
          <w:rFonts w:hint="eastAsia" w:ascii="仿宋" w:hAnsi="仿宋" w:eastAsia="仿宋" w:cs="仿宋"/>
          <w:sz w:val="24"/>
          <w:szCs w:val="24"/>
          <w:vertAlign w:val="subscript"/>
        </w:rPr>
        <w:t>2</w:t>
      </w:r>
      <w:r>
        <w:rPr>
          <w:rFonts w:hint="eastAsia" w:ascii="仿宋" w:hAnsi="仿宋" w:eastAsia="仿宋" w:cs="仿宋"/>
          <w:sz w:val="24"/>
          <w:szCs w:val="24"/>
        </w:rPr>
        <w:t>→SO</w:t>
      </w:r>
      <w:r>
        <w:rPr>
          <w:rFonts w:hint="eastAsia" w:ascii="仿宋" w:hAnsi="仿宋" w:eastAsia="仿宋" w:cs="仿宋"/>
          <w:sz w:val="24"/>
          <w:szCs w:val="24"/>
          <w:vertAlign w:val="subscript"/>
        </w:rPr>
        <w:t>3</w:t>
      </w:r>
      <w:r>
        <w:rPr>
          <w:rFonts w:hint="eastAsia" w:ascii="仿宋" w:hAnsi="仿宋" w:eastAsia="仿宋" w:cs="仿宋"/>
          <w:sz w:val="24"/>
          <w:szCs w:val="24"/>
        </w:rPr>
        <w:t>； SO</w:t>
      </w:r>
      <w:r>
        <w:rPr>
          <w:rFonts w:hint="eastAsia" w:ascii="仿宋" w:hAnsi="仿宋" w:eastAsia="仿宋" w:cs="仿宋"/>
          <w:sz w:val="24"/>
          <w:szCs w:val="24"/>
          <w:vertAlign w:val="subscript"/>
        </w:rPr>
        <w:t>3</w:t>
      </w:r>
      <w:r>
        <w:rPr>
          <w:rFonts w:hint="eastAsia" w:ascii="仿宋" w:hAnsi="仿宋" w:eastAsia="仿宋" w:cs="仿宋"/>
          <w:sz w:val="24"/>
          <w:szCs w:val="24"/>
        </w:rPr>
        <w:t xml:space="preserve"> + H</w:t>
      </w:r>
      <w:r>
        <w:rPr>
          <w:rFonts w:hint="eastAsia" w:ascii="仿宋" w:hAnsi="仿宋" w:eastAsia="仿宋" w:cs="仿宋"/>
          <w:sz w:val="24"/>
          <w:szCs w:val="24"/>
          <w:vertAlign w:val="subscript"/>
        </w:rPr>
        <w:t>2</w:t>
      </w:r>
      <w:r>
        <w:rPr>
          <w:rFonts w:hint="eastAsia" w:ascii="仿宋" w:hAnsi="仿宋" w:eastAsia="仿宋" w:cs="仿宋"/>
          <w:sz w:val="24"/>
          <w:szCs w:val="24"/>
        </w:rPr>
        <w:t>O→H</w:t>
      </w:r>
      <w:r>
        <w:rPr>
          <w:rFonts w:hint="eastAsia" w:ascii="仿宋" w:hAnsi="仿宋" w:eastAsia="仿宋" w:cs="仿宋"/>
          <w:sz w:val="24"/>
          <w:szCs w:val="24"/>
          <w:vertAlign w:val="subscript"/>
        </w:rPr>
        <w:t>2</w:t>
      </w:r>
      <w:r>
        <w:rPr>
          <w:rFonts w:hint="eastAsia" w:ascii="仿宋" w:hAnsi="仿宋" w:eastAsia="仿宋" w:cs="仿宋"/>
          <w:sz w:val="24"/>
          <w:szCs w:val="24"/>
        </w:rPr>
        <w:t>SO</w:t>
      </w:r>
      <w:r>
        <w:rPr>
          <w:rFonts w:hint="eastAsia" w:ascii="仿宋" w:hAnsi="仿宋" w:eastAsia="仿宋" w:cs="仿宋"/>
          <w:sz w:val="24"/>
          <w:szCs w:val="24"/>
          <w:vertAlign w:val="subscript"/>
        </w:rPr>
        <w:t>4</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（2）工艺流程及说明</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硫磺制酸所用的液体硫磺均由船运至码头，用泵输送至硫磺槽存放，用0.7MPa的蒸汽间接加热或保温，使硫磺始终保持液态。</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使用时用泵打入焚硫炉。在焚硫炉内硫磺经硫磺喷枪雾化后，在经过过滤干燥的空气中燃烧，产生的二氧化硫气体。离开焚硫炉的二氧化硫气体经过废热锅炉换热后，进入转化器(采用“3＋1”两次转化)进行转化。</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离开废热锅炉后的炉气首先进入转化器一段，在催化剂的作用下，二氧化硫部分转化成三氧化硫。出转化器一段的气体经高温过热换热器换热后进入转化器二段进行转化；出转化器二段的气体进入热热换热器换热后再进入转化器三段进行转化，出转化器三段的气体经冷热换热器换热和省煤器后进入HRS吸收塔（HRS：Heat Recovery System 热回收系统），吸收其中的三氧化硫得99.5%硫酸，吸收酸液通过HRS锅炉进行热回收。出HRS吸收塔的气体经塔顶除雾器除去酸雾后进入转化器四段进行二次转化，二次转化后的气体经低温过热器和省煤器回收热能后，进入最终吸收塔被98.5%硫酸吸收，尾气（G1-1）经纤维除雾器除去酸雾后，到脱硫装置，经双氧水脱硫后，再经烟囱（100m）放空。</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硫磺制酸装置中有大量的高、中温余热以及低温位余热可以回收，本扩建项目中，硫酸废热系统可从焚硫炉、转化一段、转化三段、转化四段出口炉气中回收热量，并采用HRS技术从干吸收工段回收低温热余热。</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对焚硫转化工段中产生的高、中温位余热，设置了一套高压废热锅炉余热回收系统，产6.21MPa(g)、482℃高压过热蒸汽158t/h。具体配置方式为：在焚硫炉后设置一台火管式废热锅炉，在转化三段出口设置一台省煤器，在转化四段出口设置一台省煤器及低温过热器，在转化一段出口设置一台高温过热器。</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对三氧化硫吸收中产生的低温位余热，采用孟山都的HRS余热回收系统，产生1.0MPa(g)、250℃中压过热蒸气65t/h。</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所产生的高压过热蒸气全部送至热电装置发电，中压过热蒸气中小部分用于其他生产装置，其余的大部分都送去发电</w:t>
      </w:r>
    </w:p>
    <w:p>
      <w:pPr>
        <w:spacing w:line="360" w:lineRule="auto"/>
        <w:jc w:val="center"/>
        <w:rPr>
          <w:rFonts w:hint="eastAsia" w:ascii="仿宋" w:hAnsi="仿宋" w:eastAsia="仿宋" w:cs="仿宋"/>
          <w:sz w:val="24"/>
          <w:szCs w:val="24"/>
        </w:rPr>
      </w:pPr>
      <w:bookmarkStart w:id="147" w:name="_MON_1434276523"/>
      <w:bookmarkEnd w:id="147"/>
      <w:bookmarkStart w:id="148" w:name="_MON_1430042300"/>
      <w:bookmarkEnd w:id="148"/>
      <w:bookmarkStart w:id="149" w:name="_MON_1429617748"/>
      <w:bookmarkEnd w:id="149"/>
      <w:bookmarkStart w:id="150" w:name="_MON_1432969075"/>
      <w:bookmarkEnd w:id="150"/>
      <w:bookmarkStart w:id="151" w:name="_MON_1430060280"/>
      <w:bookmarkEnd w:id="151"/>
      <w:bookmarkStart w:id="152" w:name="_MON_1430060518"/>
      <w:bookmarkEnd w:id="152"/>
      <w:bookmarkStart w:id="153" w:name="_MON_1430065363"/>
      <w:bookmarkEnd w:id="153"/>
      <w:r>
        <w:rPr>
          <w:rFonts w:hint="eastAsia" w:ascii="仿宋" w:hAnsi="仿宋" w:eastAsia="仿宋" w:cs="仿宋"/>
          <w:color w:val="00B050"/>
          <w:sz w:val="24"/>
          <w:szCs w:val="24"/>
        </w:rPr>
        <w:object>
          <v:shape id="_x0000_i1025" o:spt="75" type="#_x0000_t75" style="height:356.7pt;width:416.65pt;" o:ole="t" filled="f" o:preferrelative="t" stroked="f" coordsize="21600,21600">
            <v:path/>
            <v:fill on="f" focussize="0,0"/>
            <v:stroke on="f"/>
            <v:imagedata r:id="rId15" cropleft="2319f" o:title=""/>
            <o:lock v:ext="edit" aspectratio="t"/>
            <w10:wrap type="none"/>
            <w10:anchorlock/>
          </v:shape>
          <o:OLEObject Type="Embed" ProgID="Word.Picture.8" ShapeID="_x0000_i1025" DrawAspect="Content" ObjectID="_1468075725" r:id="rId14">
            <o:LockedField>false</o:LockedField>
          </o:OLEObject>
        </w:object>
      </w:r>
    </w:p>
    <w:p>
      <w:pPr>
        <w:spacing w:after="163" w:afterLines="50"/>
        <w:jc w:val="center"/>
        <w:rPr>
          <w:rFonts w:hint="eastAsia" w:ascii="仿宋" w:hAnsi="仿宋" w:eastAsia="仿宋" w:cs="仿宋"/>
          <w:b/>
          <w:bCs/>
          <w:sz w:val="21"/>
          <w:szCs w:val="21"/>
        </w:rPr>
      </w:pPr>
      <w:r>
        <w:rPr>
          <w:rFonts w:hint="eastAsia" w:ascii="仿宋" w:hAnsi="仿宋" w:eastAsia="仿宋" w:cs="仿宋"/>
          <w:b/>
          <w:bCs/>
          <w:sz w:val="21"/>
          <w:szCs w:val="21"/>
        </w:rPr>
        <w:t>图2.</w:t>
      </w:r>
      <w:r>
        <w:rPr>
          <w:rFonts w:hint="eastAsia" w:ascii="仿宋" w:hAnsi="仿宋" w:eastAsia="仿宋" w:cs="仿宋"/>
          <w:b/>
          <w:bCs/>
          <w:sz w:val="21"/>
          <w:szCs w:val="21"/>
          <w:lang w:val="en-US" w:eastAsia="zh-CN"/>
        </w:rPr>
        <w:t>5</w:t>
      </w:r>
      <w:r>
        <w:rPr>
          <w:rFonts w:hint="eastAsia" w:ascii="仿宋" w:hAnsi="仿宋" w:eastAsia="仿宋" w:cs="仿宋"/>
          <w:b/>
          <w:bCs/>
          <w:sz w:val="21"/>
          <w:szCs w:val="21"/>
        </w:rPr>
        <w:t xml:space="preserve"> 98.5%硫酸生产工艺流程及产污环节图</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2. 氯系列生产工艺及流程简述</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（1）工艺原理：以固体盐为原料，经一次盐水制备、二次盐水精制后进电解槽，生成NaOH、H</w:t>
      </w:r>
      <w:r>
        <w:rPr>
          <w:rFonts w:hint="eastAsia" w:ascii="仿宋" w:hAnsi="仿宋" w:eastAsia="仿宋" w:cs="仿宋"/>
          <w:sz w:val="24"/>
          <w:szCs w:val="24"/>
          <w:vertAlign w:val="subscript"/>
        </w:rPr>
        <w:t>2</w:t>
      </w:r>
      <w:r>
        <w:rPr>
          <w:rFonts w:hint="eastAsia" w:ascii="仿宋" w:hAnsi="仿宋" w:eastAsia="仿宋" w:cs="仿宋"/>
          <w:sz w:val="24"/>
          <w:szCs w:val="24"/>
        </w:rPr>
        <w:t>和Cl</w:t>
      </w:r>
      <w:r>
        <w:rPr>
          <w:rFonts w:hint="eastAsia" w:ascii="仿宋" w:hAnsi="仿宋" w:eastAsia="仿宋" w:cs="仿宋"/>
          <w:sz w:val="24"/>
          <w:szCs w:val="24"/>
          <w:vertAlign w:val="subscript"/>
        </w:rPr>
        <w:t>2</w:t>
      </w:r>
      <w:r>
        <w:rPr>
          <w:rFonts w:hint="eastAsia" w:ascii="仿宋" w:hAnsi="仿宋" w:eastAsia="仿宋" w:cs="仿宋"/>
          <w:sz w:val="24"/>
          <w:szCs w:val="24"/>
        </w:rPr>
        <w:t>，NaOH送至液碱成品罐或蒸发工段生产48%成品液碱；Cl</w:t>
      </w:r>
      <w:r>
        <w:rPr>
          <w:rFonts w:hint="eastAsia" w:ascii="仿宋" w:hAnsi="仿宋" w:eastAsia="仿宋" w:cs="仿宋"/>
          <w:sz w:val="24"/>
          <w:szCs w:val="24"/>
          <w:vertAlign w:val="subscript"/>
        </w:rPr>
        <w:t>2</w:t>
      </w:r>
      <w:r>
        <w:rPr>
          <w:rFonts w:hint="eastAsia" w:ascii="仿宋" w:hAnsi="仿宋" w:eastAsia="仿宋" w:cs="仿宋"/>
          <w:sz w:val="24"/>
          <w:szCs w:val="24"/>
        </w:rPr>
        <w:t>部分制液氯，部分送盐酸工段与H</w:t>
      </w:r>
      <w:r>
        <w:rPr>
          <w:rFonts w:hint="eastAsia" w:ascii="仿宋" w:hAnsi="仿宋" w:eastAsia="仿宋" w:cs="仿宋"/>
          <w:sz w:val="24"/>
          <w:szCs w:val="24"/>
          <w:vertAlign w:val="subscript"/>
        </w:rPr>
        <w:t>2</w:t>
      </w:r>
      <w:r>
        <w:rPr>
          <w:rFonts w:hint="eastAsia" w:ascii="仿宋" w:hAnsi="仿宋" w:eastAsia="仿宋" w:cs="仿宋"/>
          <w:sz w:val="24"/>
          <w:szCs w:val="24"/>
        </w:rPr>
        <w:t>在石墨合成炉中反应生成HCl，部分送次钠工段与NaOH反应生成NaClO。以下为化学反应方程式：</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2Na+ + 2H</w:t>
      </w:r>
      <w:r>
        <w:rPr>
          <w:rFonts w:hint="eastAsia" w:ascii="仿宋" w:hAnsi="仿宋" w:eastAsia="仿宋" w:cs="仿宋"/>
          <w:sz w:val="24"/>
          <w:szCs w:val="24"/>
          <w:vertAlign w:val="subscript"/>
        </w:rPr>
        <w:t>2</w:t>
      </w:r>
      <w:r>
        <w:rPr>
          <w:rFonts w:hint="eastAsia" w:ascii="仿宋" w:hAnsi="仿宋" w:eastAsia="仿宋" w:cs="仿宋"/>
          <w:sz w:val="24"/>
          <w:szCs w:val="24"/>
        </w:rPr>
        <w:t>O+ 2e → 2NaOH + H</w:t>
      </w:r>
      <w:r>
        <w:rPr>
          <w:rFonts w:hint="eastAsia" w:ascii="仿宋" w:hAnsi="仿宋" w:eastAsia="仿宋" w:cs="仿宋"/>
          <w:sz w:val="24"/>
          <w:szCs w:val="24"/>
          <w:vertAlign w:val="subscript"/>
        </w:rPr>
        <w:t>2</w:t>
      </w:r>
      <w:r>
        <w:rPr>
          <w:rFonts w:hint="eastAsia" w:ascii="仿宋" w:hAnsi="仿宋" w:eastAsia="仿宋" w:cs="仿宋"/>
          <w:sz w:val="24"/>
          <w:szCs w:val="24"/>
        </w:rPr>
        <w:t>↑，2Cl</w:t>
      </w:r>
      <w:r>
        <w:rPr>
          <w:rFonts w:hint="eastAsia" w:ascii="仿宋" w:hAnsi="仿宋" w:eastAsia="仿宋" w:cs="仿宋"/>
          <w:sz w:val="24"/>
          <w:szCs w:val="24"/>
          <w:vertAlign w:val="superscript"/>
        </w:rPr>
        <w:t>-</w:t>
      </w:r>
      <w:r>
        <w:rPr>
          <w:rFonts w:hint="eastAsia" w:ascii="仿宋" w:hAnsi="仿宋" w:eastAsia="仿宋" w:cs="仿宋"/>
          <w:sz w:val="24"/>
          <w:szCs w:val="24"/>
        </w:rPr>
        <w:t xml:space="preserve"> →Cl2↑+ 2e H</w:t>
      </w:r>
      <w:r>
        <w:rPr>
          <w:rFonts w:hint="eastAsia" w:ascii="仿宋" w:hAnsi="仿宋" w:eastAsia="仿宋" w:cs="仿宋"/>
          <w:sz w:val="24"/>
          <w:szCs w:val="24"/>
          <w:vertAlign w:val="subscript"/>
        </w:rPr>
        <w:t>2</w:t>
      </w:r>
      <w:r>
        <w:rPr>
          <w:rFonts w:hint="eastAsia" w:ascii="仿宋" w:hAnsi="仿宋" w:eastAsia="仿宋" w:cs="仿宋"/>
          <w:sz w:val="24"/>
          <w:szCs w:val="24"/>
        </w:rPr>
        <w:t xml:space="preserve"> + Cl</w:t>
      </w:r>
      <w:r>
        <w:rPr>
          <w:rFonts w:hint="eastAsia" w:ascii="仿宋" w:hAnsi="仿宋" w:eastAsia="仿宋" w:cs="仿宋"/>
          <w:sz w:val="24"/>
          <w:szCs w:val="24"/>
          <w:vertAlign w:val="subscript"/>
        </w:rPr>
        <w:t>2</w:t>
      </w:r>
      <w:r>
        <w:rPr>
          <w:rFonts w:hint="eastAsia" w:ascii="仿宋" w:hAnsi="仿宋" w:eastAsia="仿宋" w:cs="仿宋"/>
          <w:sz w:val="24"/>
          <w:szCs w:val="24"/>
        </w:rPr>
        <w:t xml:space="preserve"> → 2HCl</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2NaOH + Cl</w:t>
      </w:r>
      <w:r>
        <w:rPr>
          <w:rFonts w:hint="eastAsia" w:ascii="仿宋" w:hAnsi="仿宋" w:eastAsia="仿宋" w:cs="仿宋"/>
          <w:sz w:val="24"/>
          <w:szCs w:val="24"/>
          <w:vertAlign w:val="subscript"/>
        </w:rPr>
        <w:t>2</w:t>
      </w:r>
      <w:r>
        <w:rPr>
          <w:rFonts w:hint="eastAsia" w:ascii="仿宋" w:hAnsi="仿宋" w:eastAsia="仿宋" w:cs="仿宋"/>
          <w:sz w:val="24"/>
          <w:szCs w:val="24"/>
        </w:rPr>
        <w:t xml:space="preserve"> → NaCl + NaClO＋H</w:t>
      </w:r>
      <w:r>
        <w:rPr>
          <w:rFonts w:hint="eastAsia" w:ascii="仿宋" w:hAnsi="仿宋" w:eastAsia="仿宋" w:cs="仿宋"/>
          <w:sz w:val="24"/>
          <w:szCs w:val="24"/>
          <w:vertAlign w:val="subscript"/>
        </w:rPr>
        <w:t>2</w:t>
      </w:r>
      <w:r>
        <w:rPr>
          <w:rFonts w:hint="eastAsia" w:ascii="仿宋" w:hAnsi="仿宋" w:eastAsia="仿宋" w:cs="仿宋"/>
          <w:sz w:val="24"/>
          <w:szCs w:val="24"/>
        </w:rPr>
        <w:t>O</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（2）工艺流程及说明</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氯系列产品生产工艺为离子膜烧碱工艺。离子膜电解技术分为单极槽和复极槽两类，其技术均较先进、可靠，但复极槽与单极槽相比，具有安装及维修方便、膜利用率高、整流效率高、电耗低等优点。目前公司的离子膜技术采用日本旭化成的复极式自然循环电解槽电解工艺技术，并引进意大利SET公司的先进降膜蒸发工艺技术，电解槽使用行业内广泛采用的零极矩技术，大大减少电耗。氯系列产品工艺流程图如下：</w:t>
      </w:r>
    </w:p>
    <w:p>
      <w:pPr>
        <w:spacing w:line="360" w:lineRule="auto"/>
        <w:jc w:val="center"/>
        <w:rPr>
          <w:rFonts w:hint="eastAsia" w:ascii="仿宋" w:hAnsi="仿宋" w:eastAsia="仿宋" w:cs="仿宋"/>
          <w:sz w:val="24"/>
          <w:szCs w:val="24"/>
        </w:rPr>
      </w:pPr>
      <w:bookmarkStart w:id="154" w:name="_MON_1632130151"/>
      <w:bookmarkEnd w:id="154"/>
      <w:bookmarkStart w:id="155" w:name="_MON_1429620455"/>
      <w:bookmarkEnd w:id="155"/>
      <w:bookmarkStart w:id="156" w:name="_MON_1632129977"/>
      <w:bookmarkEnd w:id="156"/>
      <w:bookmarkStart w:id="157" w:name="_MON_1632130055"/>
      <w:bookmarkEnd w:id="157"/>
      <w:bookmarkStart w:id="158" w:name="_MON_1630667658"/>
      <w:bookmarkEnd w:id="158"/>
      <w:bookmarkStart w:id="159" w:name="_MON_1429620489"/>
      <w:bookmarkEnd w:id="159"/>
      <w:bookmarkStart w:id="160" w:name="_MON_1430065364"/>
      <w:bookmarkEnd w:id="160"/>
      <w:bookmarkStart w:id="161" w:name="_MON_1429620471"/>
      <w:bookmarkEnd w:id="161"/>
      <w:bookmarkStart w:id="162" w:name="_MON_1632130103"/>
      <w:bookmarkEnd w:id="162"/>
      <w:bookmarkStart w:id="163" w:name="_MON_1434275805"/>
      <w:bookmarkEnd w:id="163"/>
      <w:bookmarkStart w:id="164" w:name="_MON_1429620532"/>
      <w:bookmarkEnd w:id="164"/>
      <w:bookmarkStart w:id="165" w:name="_MON_1433575769"/>
      <w:bookmarkEnd w:id="165"/>
      <w:r>
        <w:rPr>
          <w:rFonts w:hint="eastAsia" w:ascii="仿宋" w:hAnsi="仿宋" w:eastAsia="仿宋" w:cs="仿宋"/>
          <w:color w:val="00B050"/>
          <w:sz w:val="24"/>
          <w:szCs w:val="24"/>
        </w:rPr>
        <w:object>
          <v:shape id="_x0000_i1026" o:spt="75" type="#_x0000_t75" style="height:273.05pt;width:485pt;" o:ole="t" filled="f" o:preferrelative="t" stroked="f" coordsize="21600,21600">
            <v:path/>
            <v:fill on="f" focussize="0,0"/>
            <v:stroke on="f" joinstyle="miter"/>
            <v:imagedata r:id="rId17" cropleft="1098f" cropright="505f" cropbottom="4026f" o:title=""/>
            <o:lock v:ext="edit" aspectratio="t"/>
            <w10:wrap type="none"/>
            <w10:anchorlock/>
          </v:shape>
          <o:OLEObject Type="Embed" ProgID="Word.Picture.8" ShapeID="_x0000_i1026" DrawAspect="Content" ObjectID="_1468075726" r:id="rId16">
            <o:LockedField>false</o:LockedField>
          </o:OLEObject>
        </w:object>
      </w:r>
    </w:p>
    <w:p>
      <w:pPr>
        <w:spacing w:after="163" w:afterLines="50"/>
        <w:jc w:val="center"/>
        <w:rPr>
          <w:rFonts w:hint="eastAsia" w:ascii="仿宋" w:hAnsi="仿宋" w:eastAsia="仿宋" w:cs="仿宋"/>
          <w:b/>
          <w:bCs/>
          <w:sz w:val="21"/>
          <w:szCs w:val="21"/>
        </w:rPr>
      </w:pPr>
      <w:r>
        <w:rPr>
          <w:rFonts w:hint="eastAsia" w:ascii="仿宋" w:hAnsi="仿宋" w:eastAsia="仿宋" w:cs="仿宋"/>
          <w:b/>
          <w:bCs/>
          <w:sz w:val="21"/>
          <w:szCs w:val="21"/>
        </w:rPr>
        <w:t>图2.</w:t>
      </w:r>
      <w:r>
        <w:rPr>
          <w:rFonts w:hint="eastAsia" w:ascii="仿宋" w:hAnsi="仿宋" w:eastAsia="仿宋" w:cs="仿宋"/>
          <w:b/>
          <w:bCs/>
          <w:sz w:val="21"/>
          <w:szCs w:val="21"/>
          <w:lang w:val="en-US" w:eastAsia="zh-CN"/>
        </w:rPr>
        <w:t>6</w:t>
      </w:r>
      <w:r>
        <w:rPr>
          <w:rFonts w:hint="eastAsia" w:ascii="仿宋" w:hAnsi="仿宋" w:eastAsia="仿宋" w:cs="仿宋"/>
          <w:b/>
          <w:bCs/>
          <w:sz w:val="21"/>
          <w:szCs w:val="21"/>
        </w:rPr>
        <w:t xml:space="preserve"> 氯系列产品生产工艺流程图</w:t>
      </w:r>
    </w:p>
    <w:p>
      <w:pPr>
        <w:pStyle w:val="76"/>
        <w:numPr>
          <w:ilvl w:val="0"/>
          <w:numId w:val="1"/>
        </w:numPr>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盐水一次精制</w:t>
      </w:r>
    </w:p>
    <w:p>
      <w:pPr>
        <w:pStyle w:val="76"/>
        <w:spacing w:line="360" w:lineRule="auto"/>
        <w:ind w:firstLine="480"/>
        <w:rPr>
          <w:rFonts w:hint="eastAsia" w:ascii="仿宋" w:hAnsi="仿宋" w:eastAsia="仿宋" w:cs="仿宋"/>
          <w:sz w:val="24"/>
          <w:szCs w:val="24"/>
        </w:rPr>
      </w:pPr>
      <w:r>
        <w:rPr>
          <w:rFonts w:hint="eastAsia" w:ascii="仿宋" w:hAnsi="仿宋" w:eastAsia="仿宋" w:cs="仿宋"/>
          <w:sz w:val="24"/>
          <w:szCs w:val="24"/>
        </w:rPr>
        <w:t>工业水、脱氯淡盐水在化盐桶中与加入的固体盐进行饱和，制成饱和粗盐水，采用烧碱—纯碱法进行精制，反应生成的钙、镁固相悬浮物通过过滤后得精盐水进入二次盐水工段。过滤的滤渣即盐泥，经压滤后滤液返回化盐工段，滤饼（S1）外送处置。过滤器反洗水也返回化盐工段。目前使用固体盐作为原料，杂质离子较多，产生的盐泥固废也较多。</w:t>
      </w:r>
    </w:p>
    <w:p>
      <w:pPr>
        <w:spacing w:line="360" w:lineRule="auto"/>
        <w:jc w:val="center"/>
        <w:rPr>
          <w:rFonts w:hint="eastAsia" w:ascii="仿宋" w:hAnsi="仿宋" w:eastAsia="仿宋" w:cs="仿宋"/>
          <w:sz w:val="24"/>
          <w:szCs w:val="24"/>
        </w:rPr>
      </w:pPr>
      <w:bookmarkStart w:id="166" w:name="_MON_1429620630"/>
      <w:bookmarkEnd w:id="166"/>
      <w:bookmarkStart w:id="167" w:name="_MON_1429620620"/>
      <w:bookmarkEnd w:id="167"/>
      <w:bookmarkStart w:id="168" w:name="_MON_1434275855"/>
      <w:bookmarkEnd w:id="168"/>
      <w:bookmarkStart w:id="169" w:name="_MON_1632130343"/>
      <w:bookmarkEnd w:id="169"/>
      <w:r>
        <w:rPr>
          <w:rFonts w:hint="eastAsia" w:ascii="仿宋" w:hAnsi="仿宋" w:eastAsia="仿宋" w:cs="仿宋"/>
          <w:color w:val="00B050"/>
          <w:sz w:val="24"/>
          <w:szCs w:val="24"/>
        </w:rPr>
        <w:object>
          <v:shape id="_x0000_i1027" o:spt="75" type="#_x0000_t75" style="height:196.3pt;width:476.15pt;" o:ole="t" filled="f" o:preferrelative="t" stroked="f" coordsize="21600,21600">
            <v:path/>
            <v:fill on="f" focussize="0,0"/>
            <v:stroke on="f" joinstyle="miter"/>
            <v:imagedata r:id="rId19" cropleft="809f" croptop="-2307f" cropright="1680f" o:title=""/>
            <o:lock v:ext="edit" aspectratio="t"/>
            <w10:wrap type="none"/>
            <w10:anchorlock/>
          </v:shape>
          <o:OLEObject Type="Embed" ProgID="Word.Picture.8" ShapeID="_x0000_i1027" DrawAspect="Content" ObjectID="_1468075727" r:id="rId18">
            <o:LockedField>false</o:LockedField>
          </o:OLEObject>
        </w:object>
      </w:r>
    </w:p>
    <w:p>
      <w:pPr>
        <w:spacing w:after="163" w:afterLines="50"/>
        <w:jc w:val="center"/>
        <w:rPr>
          <w:rFonts w:hint="eastAsia" w:ascii="仿宋" w:hAnsi="仿宋" w:eastAsia="仿宋" w:cs="仿宋"/>
          <w:b/>
          <w:bCs/>
          <w:sz w:val="21"/>
          <w:szCs w:val="21"/>
        </w:rPr>
      </w:pPr>
      <w:r>
        <w:rPr>
          <w:rFonts w:hint="eastAsia" w:ascii="仿宋" w:hAnsi="仿宋" w:eastAsia="仿宋" w:cs="仿宋"/>
          <w:b/>
          <w:bCs/>
          <w:sz w:val="21"/>
          <w:szCs w:val="21"/>
        </w:rPr>
        <w:t>图2.</w:t>
      </w:r>
      <w:r>
        <w:rPr>
          <w:rFonts w:hint="eastAsia" w:ascii="仿宋" w:hAnsi="仿宋" w:eastAsia="仿宋" w:cs="仿宋"/>
          <w:b/>
          <w:bCs/>
          <w:sz w:val="21"/>
          <w:szCs w:val="21"/>
          <w:lang w:val="en-US" w:eastAsia="zh-CN"/>
        </w:rPr>
        <w:t>7</w:t>
      </w:r>
      <w:r>
        <w:rPr>
          <w:rFonts w:hint="eastAsia" w:ascii="仿宋" w:hAnsi="仿宋" w:eastAsia="仿宋" w:cs="仿宋"/>
          <w:b/>
          <w:bCs/>
          <w:sz w:val="21"/>
          <w:szCs w:val="21"/>
        </w:rPr>
        <w:t xml:space="preserve"> 氯系列产品一次盐水工段生产工艺流程图</w:t>
      </w:r>
    </w:p>
    <w:p>
      <w:pPr>
        <w:pStyle w:val="76"/>
        <w:numPr>
          <w:ilvl w:val="0"/>
          <w:numId w:val="1"/>
        </w:numPr>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盐水二次精制及电解：</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一次盐水经盐水加热器加热至60℃后，送往螯合树脂塔除去Ca</w:t>
      </w:r>
      <w:r>
        <w:rPr>
          <w:rFonts w:hint="eastAsia" w:ascii="仿宋" w:hAnsi="仿宋" w:eastAsia="仿宋" w:cs="仿宋"/>
          <w:sz w:val="24"/>
          <w:szCs w:val="24"/>
          <w:vertAlign w:val="superscript"/>
        </w:rPr>
        <w:t>2＋</w:t>
      </w:r>
      <w:r>
        <w:rPr>
          <w:rFonts w:hint="eastAsia" w:ascii="仿宋" w:hAnsi="仿宋" w:eastAsia="仿宋" w:cs="仿宋"/>
          <w:sz w:val="24"/>
          <w:szCs w:val="24"/>
        </w:rPr>
        <w:t>、Mg2</w:t>
      </w:r>
      <w:r>
        <w:rPr>
          <w:rFonts w:hint="eastAsia" w:ascii="仿宋" w:hAnsi="仿宋" w:eastAsia="仿宋" w:cs="仿宋"/>
          <w:sz w:val="24"/>
          <w:szCs w:val="24"/>
          <w:vertAlign w:val="superscript"/>
        </w:rPr>
        <w:t>＋</w:t>
      </w:r>
      <w:r>
        <w:rPr>
          <w:rFonts w:hint="eastAsia" w:ascii="仿宋" w:hAnsi="仿宋" w:eastAsia="仿宋" w:cs="仿宋"/>
          <w:sz w:val="24"/>
          <w:szCs w:val="24"/>
        </w:rPr>
        <w:t>离子（&lt;20ppb），然后进入电解槽进行电解。</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从电解槽阳极室流出的淡盐水去淡盐水脱氯工序（真空脱氯塔），湿氯气汇入总管送配套工程氯处理工序；从阴极室流出的电解液（32％NaOH）进入电解液贮槽，用泵送蒸发工序（或成品贮罐），阴极室分离出来的氢气送氢处理工序。</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从淡盐水储槽抽出的淡盐水送入脱氯塔上部，脱出来的氯气经过脱氯塔冷却器除去水份之后，作为产品氯气进入氯总管加以回收，脱氯塔出来的淡盐水送到一次盐水工序。</w:t>
      </w:r>
    </w:p>
    <w:p>
      <w:pPr>
        <w:spacing w:line="360" w:lineRule="auto"/>
        <w:jc w:val="center"/>
        <w:rPr>
          <w:rFonts w:hint="eastAsia" w:ascii="仿宋" w:hAnsi="仿宋" w:eastAsia="仿宋" w:cs="仿宋"/>
          <w:sz w:val="24"/>
          <w:szCs w:val="24"/>
        </w:rPr>
      </w:pPr>
      <w:bookmarkStart w:id="170" w:name="_MON_1429620720"/>
      <w:bookmarkEnd w:id="170"/>
      <w:bookmarkStart w:id="171" w:name="_MON_1430065365"/>
      <w:bookmarkEnd w:id="171"/>
      <w:r>
        <w:rPr>
          <w:rFonts w:hint="eastAsia" w:ascii="仿宋" w:hAnsi="仿宋" w:eastAsia="仿宋" w:cs="仿宋"/>
          <w:color w:val="00B050"/>
          <w:sz w:val="24"/>
          <w:szCs w:val="24"/>
        </w:rPr>
        <w:object>
          <v:shape id="_x0000_i1028" o:spt="75" type="#_x0000_t75" style="height:161pt;width:476.15pt;" o:ole="t" filled="f" o:preferrelative="t" stroked="f" coordsize="21600,21600">
            <v:path/>
            <v:fill on="f" focussize="0,0"/>
            <v:stroke on="f" joinstyle="miter"/>
            <v:imagedata r:id="rId21" cropleft="2294f" cropright="3914f" o:title=""/>
            <o:lock v:ext="edit" aspectratio="t"/>
            <w10:wrap type="none"/>
            <w10:anchorlock/>
          </v:shape>
          <o:OLEObject Type="Embed" ProgID="Word.Picture.8" ShapeID="_x0000_i1028" DrawAspect="Content" ObjectID="_1468075728" r:id="rId20">
            <o:LockedField>false</o:LockedField>
          </o:OLEObject>
        </w:object>
      </w:r>
    </w:p>
    <w:p>
      <w:pPr>
        <w:spacing w:after="163" w:afterLines="50"/>
        <w:jc w:val="center"/>
        <w:rPr>
          <w:rFonts w:hint="eastAsia" w:ascii="仿宋" w:hAnsi="仿宋" w:eastAsia="仿宋" w:cs="仿宋"/>
          <w:b/>
          <w:bCs/>
          <w:sz w:val="21"/>
          <w:szCs w:val="21"/>
        </w:rPr>
      </w:pPr>
      <w:r>
        <w:rPr>
          <w:rFonts w:hint="eastAsia" w:ascii="仿宋" w:hAnsi="仿宋" w:eastAsia="仿宋" w:cs="仿宋"/>
          <w:b/>
          <w:bCs/>
          <w:sz w:val="21"/>
          <w:szCs w:val="21"/>
        </w:rPr>
        <w:t>图2.8 氯系系列产品二次盐水级电解工段生产工艺流程图</w:t>
      </w:r>
    </w:p>
    <w:p>
      <w:pPr>
        <w:pStyle w:val="76"/>
        <w:numPr>
          <w:ilvl w:val="0"/>
          <w:numId w:val="1"/>
        </w:numPr>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氯氢处理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①氯处理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从电解来的湿氯气，进入洗涤塔采用循环冷却水进行逆向热交换，氯气中的水蒸汽被冷凝后除去，并除去夹带的盐雾等杂质，再进入氯气冷却器冷却，然后进入湿氯除雾器，除去水雾后，进入三台串联的氯气干燥塔，与经过冷却的98％硫酸逆流接触进行干燥，送氯气压缩工段经四级压缩和四级冷却后送氯气液化工段。稀硫酸（S4）定期送出外供。氯气处理过程中产生的氯水送淡盐水脱氯装置脱氯。</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氯气液化：氯处理工序来的氯气进入氯气液化器冷凝成液体，经液氯分离器分离出液氯后进入液氯储存及包装工序的液氯储槽。氯液化工段的尾氯送次氯酸钠工段与NaOH反应生成次氯酸钠。</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当系统压力超压时，氯气出氯气洗涤塔，冲破安全水封，进入氯气事故吸收塔，开停车时的淡氯气进入淡氯气处理塔（与氯气事故吸收塔共用一个排气筒），用碱液循环喷淋吸收氯气，循环碱液达到一定浓度后，用泵送至次氯酸钠工段。</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②氢处理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电解工段出来的湿氢气经氢气安全水封和氢气水封进入氢气冷却塔，用水喷淋冷却除去水汽和碱雾，再由氢气输送泵将氢气由外管分别送到盐酸合成装置和梅塞尔公司制纯氢气。</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6047740" cy="1464310"/>
            <wp:effectExtent l="0" t="0" r="0" b="254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pic:cNvPicPr>
                  </pic:nvPicPr>
                  <pic:blipFill>
                    <a:blip r:embed="rId22"/>
                    <a:stretch>
                      <a:fillRect/>
                    </a:stretch>
                  </pic:blipFill>
                  <pic:spPr>
                    <a:xfrm>
                      <a:off x="0" y="0"/>
                      <a:ext cx="6048000" cy="1464400"/>
                    </a:xfrm>
                    <a:prstGeom prst="rect">
                      <a:avLst/>
                    </a:prstGeom>
                  </pic:spPr>
                </pic:pic>
              </a:graphicData>
            </a:graphic>
          </wp:inline>
        </w:drawing>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609590" cy="963295"/>
            <wp:effectExtent l="0" t="0" r="3810" b="1905"/>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pic:cNvPicPr>
                      <a:picLocks noChangeAspect="1"/>
                    </pic:cNvPicPr>
                  </pic:nvPicPr>
                  <pic:blipFill>
                    <a:blip r:embed="rId23"/>
                    <a:stretch>
                      <a:fillRect/>
                    </a:stretch>
                  </pic:blipFill>
                  <pic:spPr>
                    <a:xfrm>
                      <a:off x="0" y="0"/>
                      <a:ext cx="5609590" cy="963295"/>
                    </a:xfrm>
                    <a:prstGeom prst="rect">
                      <a:avLst/>
                    </a:prstGeom>
                  </pic:spPr>
                </pic:pic>
              </a:graphicData>
            </a:graphic>
          </wp:inline>
        </w:drawing>
      </w:r>
    </w:p>
    <w:p>
      <w:pPr>
        <w:spacing w:after="163" w:afterLines="50"/>
        <w:jc w:val="center"/>
        <w:rPr>
          <w:rFonts w:hint="eastAsia" w:ascii="仿宋" w:hAnsi="仿宋" w:eastAsia="仿宋" w:cs="仿宋"/>
          <w:b/>
          <w:bCs/>
          <w:sz w:val="21"/>
          <w:szCs w:val="21"/>
        </w:rPr>
      </w:pPr>
      <w:r>
        <w:rPr>
          <w:rFonts w:hint="eastAsia" w:ascii="仿宋" w:hAnsi="仿宋" w:eastAsia="仿宋" w:cs="仿宋"/>
          <w:b/>
          <w:bCs/>
          <w:sz w:val="21"/>
          <w:szCs w:val="21"/>
        </w:rPr>
        <w:t>图2.9 氯系列产品氯氢处理工段生产工艺流程图</w:t>
      </w:r>
    </w:p>
    <w:p>
      <w:pPr>
        <w:pStyle w:val="76"/>
        <w:numPr>
          <w:ilvl w:val="0"/>
          <w:numId w:val="2"/>
        </w:numPr>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蒸发</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自电解来的32％液碱送入Ⅲ效蒸发器，经工艺蒸汽加热后蒸汽从II效气罐的溶液中分离出去，碱液则浓缩到37%。37%的碱液送到预热器中，在此用外界蒸汽冷凝水加热后送入I效蒸发器中，用外界蒸汽加热使水蒸发，工艺蒸汽从I效气罐中排出，碱液则进一步浓缩成为48%的成品碱。</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外界蒸汽和工艺蒸汽冷凝水均回用到一次化盐。</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6047740" cy="1758950"/>
            <wp:effectExtent l="0" t="0" r="0" b="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pic:cNvPicPr>
                  </pic:nvPicPr>
                  <pic:blipFill>
                    <a:blip r:embed="rId24"/>
                    <a:stretch>
                      <a:fillRect/>
                    </a:stretch>
                  </pic:blipFill>
                  <pic:spPr>
                    <a:xfrm>
                      <a:off x="0" y="0"/>
                      <a:ext cx="6048000" cy="1759100"/>
                    </a:xfrm>
                    <a:prstGeom prst="rect">
                      <a:avLst/>
                    </a:prstGeom>
                  </pic:spPr>
                </pic:pic>
              </a:graphicData>
            </a:graphic>
          </wp:inline>
        </w:drawing>
      </w:r>
    </w:p>
    <w:p>
      <w:pPr>
        <w:spacing w:after="163" w:afterLines="50"/>
        <w:jc w:val="center"/>
        <w:rPr>
          <w:rFonts w:hint="eastAsia" w:ascii="仿宋" w:hAnsi="仿宋" w:eastAsia="仿宋" w:cs="仿宋"/>
          <w:b/>
          <w:bCs/>
          <w:sz w:val="24"/>
          <w:szCs w:val="24"/>
        </w:rPr>
      </w:pPr>
      <w:r>
        <w:rPr>
          <w:rFonts w:hint="eastAsia" w:ascii="仿宋" w:hAnsi="仿宋" w:eastAsia="仿宋" w:cs="仿宋"/>
          <w:b/>
          <w:bCs/>
          <w:sz w:val="24"/>
          <w:szCs w:val="24"/>
        </w:rPr>
        <w:t>图2.10 氯系列产品蒸发工段生产工艺流程图</w:t>
      </w:r>
    </w:p>
    <w:p>
      <w:pPr>
        <w:pStyle w:val="76"/>
        <w:numPr>
          <w:ilvl w:val="0"/>
          <w:numId w:val="2"/>
        </w:numPr>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盐酸合成</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从氯氢处理来的氯气和氢气进入三合一石墨合成炉，生成31%的高纯盐酸。尾气经过尾气吸收器吸收，不凝气放空，尾气吸收器的吸收水进入三合一石墨合成炉作为制酸的吸收水。</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3768090" cy="1386840"/>
            <wp:effectExtent l="0" t="0" r="3810" b="1016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pic:cNvPicPr>
                      <a:picLocks noChangeAspect="1"/>
                    </pic:cNvPicPr>
                  </pic:nvPicPr>
                  <pic:blipFill>
                    <a:blip r:embed="rId25"/>
                    <a:stretch>
                      <a:fillRect/>
                    </a:stretch>
                  </pic:blipFill>
                  <pic:spPr>
                    <a:xfrm>
                      <a:off x="0" y="0"/>
                      <a:ext cx="3768090" cy="1386840"/>
                    </a:xfrm>
                    <a:prstGeom prst="rect">
                      <a:avLst/>
                    </a:prstGeom>
                  </pic:spPr>
                </pic:pic>
              </a:graphicData>
            </a:graphic>
          </wp:inline>
        </w:drawing>
      </w:r>
    </w:p>
    <w:p>
      <w:pPr>
        <w:spacing w:after="163" w:afterLines="50"/>
        <w:jc w:val="center"/>
        <w:rPr>
          <w:rFonts w:hint="eastAsia" w:ascii="仿宋" w:hAnsi="仿宋" w:eastAsia="仿宋" w:cs="仿宋"/>
          <w:b/>
          <w:bCs/>
          <w:sz w:val="21"/>
          <w:szCs w:val="21"/>
        </w:rPr>
      </w:pPr>
      <w:r>
        <w:rPr>
          <w:rFonts w:hint="eastAsia" w:ascii="仿宋" w:hAnsi="仿宋" w:eastAsia="仿宋" w:cs="仿宋"/>
          <w:b/>
          <w:bCs/>
          <w:sz w:val="21"/>
          <w:szCs w:val="21"/>
        </w:rPr>
        <w:t>图2.11 氯系列产品盐酸合成工段生产工艺流程图</w:t>
      </w:r>
    </w:p>
    <w:p>
      <w:pPr>
        <w:pStyle w:val="76"/>
        <w:numPr>
          <w:ilvl w:val="0"/>
          <w:numId w:val="2"/>
        </w:numPr>
        <w:spacing w:line="360" w:lineRule="auto"/>
        <w:ind w:firstLineChars="0"/>
        <w:rPr>
          <w:rFonts w:hint="eastAsia" w:ascii="仿宋" w:hAnsi="仿宋" w:eastAsia="仿宋" w:cs="仿宋"/>
          <w:sz w:val="24"/>
          <w:szCs w:val="24"/>
        </w:rPr>
      </w:pPr>
      <w:r>
        <w:rPr>
          <w:rFonts w:hint="eastAsia" w:ascii="仿宋" w:hAnsi="仿宋" w:eastAsia="仿宋" w:cs="仿宋"/>
          <w:sz w:val="24"/>
          <w:szCs w:val="24"/>
        </w:rPr>
        <w:t>次氯酸钠</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32%液碱在配碱槽配制成17～18％的碱液，送入填料塔内，再流入降膜塔顶部，同时氯气经从降膜塔顶部进入，和填料塔下来的碱液进行反应生成次氯酸钠。从降膜塔底部出来的未反应完氯气进入填料塔底部，与顶部下来的碱液接触反应，尾气（G2）经碱液喷射吸收后放空。</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317490" cy="1829435"/>
            <wp:effectExtent l="0" t="0" r="3810" b="12065"/>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pic:cNvPicPr>
                  </pic:nvPicPr>
                  <pic:blipFill>
                    <a:blip r:embed="rId26"/>
                    <a:stretch>
                      <a:fillRect/>
                    </a:stretch>
                  </pic:blipFill>
                  <pic:spPr>
                    <a:xfrm>
                      <a:off x="0" y="0"/>
                      <a:ext cx="5317490" cy="1829435"/>
                    </a:xfrm>
                    <a:prstGeom prst="rect">
                      <a:avLst/>
                    </a:prstGeom>
                  </pic:spPr>
                </pic:pic>
              </a:graphicData>
            </a:graphic>
          </wp:inline>
        </w:drawing>
      </w:r>
    </w:p>
    <w:p>
      <w:pPr>
        <w:spacing w:after="163" w:afterLines="50"/>
        <w:jc w:val="center"/>
        <w:rPr>
          <w:rFonts w:hint="eastAsia" w:ascii="仿宋" w:hAnsi="仿宋" w:eastAsia="仿宋" w:cs="仿宋"/>
          <w:b/>
          <w:bCs/>
          <w:sz w:val="21"/>
          <w:szCs w:val="21"/>
        </w:rPr>
      </w:pPr>
      <w:r>
        <w:rPr>
          <w:rFonts w:hint="eastAsia" w:ascii="仿宋" w:hAnsi="仿宋" w:eastAsia="仿宋" w:cs="仿宋"/>
          <w:b/>
          <w:bCs/>
          <w:sz w:val="21"/>
          <w:szCs w:val="21"/>
        </w:rPr>
        <w:t>图2.12 氯系列产品次氯酸钠工段生产工艺流程图</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3．余热发电工艺流程介绍</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余热发电工艺是一个能量转化的过程，将硫磺制酸装置中产生的大量高、中温位余热以及低温位余热进行回收，再经汽轮机、发电机转化为电能。</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（1）NK63/3.2型纯凝式汽轮发电机组</w:t>
      </w:r>
    </w:p>
    <w:p>
      <w:pPr>
        <w:spacing w:line="360" w:lineRule="auto"/>
        <w:ind w:firstLine="420" w:firstLineChars="200"/>
        <w:jc w:val="center"/>
        <w:rPr>
          <w:rFonts w:eastAsia="仿宋_GB2312" w:cs="Times New Roman"/>
        </w:rPr>
      </w:pPr>
      <w:r>
        <w:drawing>
          <wp:inline distT="0" distB="0" distL="0" distR="0">
            <wp:extent cx="4625975" cy="1848485"/>
            <wp:effectExtent l="9525" t="9525" r="12700" b="21590"/>
            <wp:docPr id="238" name="图片 238"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C:\Users\Administrator\Desktop\图片2.png图片2"/>
                    <pic:cNvPicPr>
                      <a:picLocks noChangeAspect="1"/>
                    </pic:cNvPicPr>
                  </pic:nvPicPr>
                  <pic:blipFill>
                    <a:blip r:embed="rId27"/>
                    <a:srcRect l="3914" t="4938" r="6602" b="6821"/>
                    <a:stretch>
                      <a:fillRect/>
                    </a:stretch>
                  </pic:blipFill>
                  <pic:spPr>
                    <a:xfrm>
                      <a:off x="0" y="0"/>
                      <a:ext cx="4625975" cy="1848485"/>
                    </a:xfrm>
                    <a:prstGeom prst="rect">
                      <a:avLst/>
                    </a:prstGeom>
                    <a:ln>
                      <a:solidFill>
                        <a:schemeClr val="tx1"/>
                      </a:solidFill>
                    </a:ln>
                  </pic:spPr>
                </pic:pic>
              </a:graphicData>
            </a:graphic>
          </wp:inline>
        </w:drawing>
      </w:r>
    </w:p>
    <w:p>
      <w:pPr>
        <w:spacing w:after="163" w:afterLines="50"/>
        <w:jc w:val="center"/>
        <w:rPr>
          <w:rFonts w:hint="eastAsia" w:ascii="仿宋" w:hAnsi="仿宋" w:eastAsia="仿宋" w:cs="仿宋"/>
          <w:b/>
          <w:bCs/>
          <w:sz w:val="21"/>
          <w:szCs w:val="21"/>
        </w:rPr>
      </w:pPr>
      <w:r>
        <w:rPr>
          <w:rFonts w:hint="eastAsia" w:ascii="仿宋" w:hAnsi="仿宋" w:eastAsia="仿宋" w:cs="仿宋"/>
          <w:b/>
          <w:bCs/>
          <w:sz w:val="21"/>
          <w:szCs w:val="21"/>
        </w:rPr>
        <w:t>图2.13 余热发电工艺流程图</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过热蒸汽由硫磺制酸项目产生，其中余热回收装置包括在硫磺制酸项目中。硫酸废热系统从焚硫炉、转化一段、转化三段、转化四段出口炉气中回收热量。</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由硫磺制酸项目产生的过热蒸汽通过过热蒸汽管进入汽轮机做功发电。经汽轮机做功后的乏汽进入凝汽器，乏汽在凝汽器中凝结成水后，经给水泵泵入硫酸项目的余热回收系统循环使用。如此完成一个工作循环。</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4．氯磺酸生产工艺介绍</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（1）工艺原理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本项目主要工艺步骤为HCl气体和SO3气体反应生成氯磺酸，同时通过冷却分离、酸洗、水洗和碱洗得到副产品98%硫酸、30%盐酸和20%亚硫酸钠。反应方程式如下：</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SO</w:t>
      </w:r>
      <w:r>
        <w:rPr>
          <w:rFonts w:hint="eastAsia" w:ascii="仿宋" w:hAnsi="仿宋" w:eastAsia="仿宋" w:cs="仿宋"/>
          <w:sz w:val="24"/>
          <w:szCs w:val="24"/>
          <w:vertAlign w:val="subscript"/>
        </w:rPr>
        <w:t>3</w:t>
      </w:r>
      <w:r>
        <w:rPr>
          <w:rFonts w:hint="eastAsia" w:ascii="仿宋" w:hAnsi="仿宋" w:eastAsia="仿宋" w:cs="仿宋"/>
          <w:sz w:val="24"/>
          <w:szCs w:val="24"/>
        </w:rPr>
        <w:t>+HCl→HSO</w:t>
      </w:r>
      <w:r>
        <w:rPr>
          <w:rFonts w:hint="eastAsia" w:ascii="仿宋" w:hAnsi="仿宋" w:eastAsia="仿宋" w:cs="仿宋"/>
          <w:sz w:val="24"/>
          <w:szCs w:val="24"/>
          <w:vertAlign w:val="subscript"/>
        </w:rPr>
        <w:t>3</w:t>
      </w:r>
      <w:r>
        <w:rPr>
          <w:rFonts w:hint="eastAsia" w:ascii="仿宋" w:hAnsi="仿宋" w:eastAsia="仿宋" w:cs="仿宋"/>
          <w:sz w:val="24"/>
          <w:szCs w:val="24"/>
        </w:rPr>
        <w:t>Cl。</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（2）工艺流程</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其生产工艺流程及产污环节如下图：</w:t>
      </w:r>
    </w:p>
    <w:p>
      <w:pPr>
        <w:spacing w:line="360" w:lineRule="auto"/>
        <w:jc w:val="center"/>
        <w:rPr>
          <w:rFonts w:eastAsia="仿宋_GB2312" w:cs="Times New Roman"/>
        </w:rPr>
      </w:pPr>
      <w:bookmarkStart w:id="172" w:name="_MON_1430065366"/>
      <w:bookmarkEnd w:id="172"/>
      <w:bookmarkStart w:id="173" w:name="_MON_1429621106"/>
      <w:bookmarkEnd w:id="173"/>
      <w:bookmarkStart w:id="174" w:name="_MON_1430043152"/>
      <w:bookmarkEnd w:id="174"/>
      <w:bookmarkStart w:id="175" w:name="_MON_1429621035"/>
      <w:bookmarkEnd w:id="175"/>
      <w:r>
        <w:rPr>
          <w:rFonts w:ascii="宋体" w:hAnsi="宋体"/>
          <w:color w:val="00B050"/>
        </w:rPr>
        <w:object>
          <v:shape id="_x0000_i1029" o:spt="75" type="#_x0000_t75" style="height:210.5pt;width:412.2pt;" o:ole="t" filled="f" o:preferrelative="t" stroked="f" coordsize="21600,21600">
            <v:path/>
            <v:fill on="f" focussize="0,0"/>
            <v:stroke on="f"/>
            <v:imagedata r:id="rId29" o:title=""/>
            <o:lock v:ext="edit" aspectratio="t"/>
            <w10:wrap type="none"/>
            <w10:anchorlock/>
          </v:shape>
          <o:OLEObject Type="Embed" ProgID="Word.Picture.8" ShapeID="_x0000_i1029" DrawAspect="Content" ObjectID="_1468075729" r:id="rId28">
            <o:LockedField>false</o:LockedField>
          </o:OLEObject>
        </w:object>
      </w:r>
    </w:p>
    <w:p>
      <w:pPr>
        <w:spacing w:after="163" w:afterLines="50"/>
        <w:jc w:val="center"/>
        <w:rPr>
          <w:rFonts w:hint="eastAsia" w:ascii="仿宋" w:hAnsi="仿宋" w:eastAsia="仿宋" w:cs="仿宋"/>
          <w:b/>
          <w:bCs/>
          <w:sz w:val="21"/>
          <w:szCs w:val="21"/>
        </w:rPr>
      </w:pPr>
      <w:r>
        <w:rPr>
          <w:rFonts w:hint="eastAsia" w:ascii="仿宋" w:hAnsi="仿宋" w:eastAsia="仿宋" w:cs="仿宋"/>
          <w:b/>
          <w:bCs/>
          <w:sz w:val="21"/>
          <w:szCs w:val="21"/>
        </w:rPr>
        <w:t>图2.14 氯磺酸生产工艺流程图</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（3）工艺流程说明</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1）氯化氢干燥 </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原料氯化氢来自公司氯碱装置，由于氯化氢气体含有一定量的水份，所以必须先将其经过除沫塔和干燥塔除去水份，经干燥后的氯化氢气体进入合成塔。</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氯化氢气体干燥采用98%的浓硫酸进行干燥，启动浓硫酸从硫磺制酸项目输送至本项目，干燥完成后，98%的浓硫酸吸收水分得到96%的硫酸，96%的硫酸回用于吸收SO3尾气。HCl气体干燥在密闭系统内干燥，所以不会有废气产生。</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2）合成反应、冷却分离</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原料三氧化硫来自企业二期工程硫酸装置，其气体为三氧化硫和二氧化硫的混合气体，通入合成塔与氯化氢气体进行合成反应。反应后的气体进入多级冷凝分离器，以分离冷凝后的氯磺酸（液态）和尚未反应的部分三氧化硫，这部分气体再循环回到合成塔继续与氯化氢反应，以充分提高收率。成品氯磺酸流入地槽，再通过管道输送至贮罐储存。</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3）酸洗、水洗、碱洗</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经冷凝器分离后的尾气进入3座串联的酸洗塔，用硫酸充分吸收混合气体中的三氧化硫，制成硫酸输送至一期工程的硫酸贮罐。</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经硫酸吸收后的尾气再进入水洗塔，由水吸收氯化氢制成盐酸，输送至氯碱装置内的盐酸贮罐。</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最后，经水洗后的尾气进入2座串联的碱水洗涤塔，用液碱洗涤气体并同二氧化硫反应生成亚硫酸钠溶液，输送氯碱项目装置内的亚硫酸钠贮罐。</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4）尾气最后处理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经过合成、酸洗、水洗、碱洗各工序的作业，少量含氯化氢、三氧化硫、二氧化硫的尾气经过除雾塔除雾处理后达标排放。</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5．发烟硫酸生产工艺介绍</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以进口液体硫磺为原料，液体硫磺用泵加压机械雾化焚烧，“3＋1”两转两吸工艺，工艺过程采用DCS系统控制。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（1）主要化学反应方程式 </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硫磺制酸项目主要工艺步骤包括：硫磺在空气中燃烧形成二氧化硫，二氧化硫和氧气结合生成三氧化硫，SO</w:t>
      </w:r>
      <w:r>
        <w:rPr>
          <w:rFonts w:hint="eastAsia" w:ascii="仿宋" w:hAnsi="仿宋" w:eastAsia="仿宋" w:cs="仿宋"/>
          <w:sz w:val="24"/>
          <w:szCs w:val="24"/>
          <w:vertAlign w:val="subscript"/>
        </w:rPr>
        <w:t>3</w:t>
      </w:r>
      <w:r>
        <w:rPr>
          <w:rFonts w:hint="eastAsia" w:ascii="仿宋" w:hAnsi="仿宋" w:eastAsia="仿宋" w:cs="仿宋"/>
          <w:sz w:val="24"/>
          <w:szCs w:val="24"/>
        </w:rPr>
        <w:t>再结合水分形成硫酸，硫酸吸收三氧化硫形成烟酸。其过程发生的化学反应如下：</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S + O</w:t>
      </w:r>
      <w:r>
        <w:rPr>
          <w:rFonts w:hint="eastAsia" w:ascii="仿宋" w:hAnsi="仿宋" w:eastAsia="仿宋" w:cs="仿宋"/>
          <w:sz w:val="24"/>
          <w:szCs w:val="24"/>
          <w:vertAlign w:val="subscript"/>
        </w:rPr>
        <w:t>2</w:t>
      </w:r>
      <w:r>
        <w:rPr>
          <w:rFonts w:hint="eastAsia" w:ascii="仿宋" w:hAnsi="仿宋" w:eastAsia="仿宋" w:cs="仿宋"/>
          <w:sz w:val="24"/>
          <w:szCs w:val="24"/>
        </w:rPr>
        <w:t xml:space="preserve">=SO2 +Q  </w:t>
      </w:r>
      <w:r>
        <w:rPr>
          <w:rFonts w:hint="eastAsia" w:ascii="仿宋" w:hAnsi="仿宋" w:eastAsia="仿宋" w:cs="仿宋"/>
          <w:sz w:val="24"/>
          <w:szCs w:val="24"/>
        </w:rPr>
        <w:tab/>
      </w:r>
      <w:r>
        <w:rPr>
          <w:rFonts w:hint="eastAsia" w:ascii="仿宋" w:hAnsi="仿宋" w:eastAsia="仿宋" w:cs="仿宋"/>
          <w:sz w:val="24"/>
          <w:szCs w:val="24"/>
        </w:rPr>
        <w:t xml:space="preserve">       SO</w:t>
      </w:r>
      <w:r>
        <w:rPr>
          <w:rFonts w:hint="eastAsia" w:ascii="仿宋" w:hAnsi="仿宋" w:eastAsia="仿宋" w:cs="仿宋"/>
          <w:sz w:val="24"/>
          <w:szCs w:val="24"/>
          <w:vertAlign w:val="subscript"/>
        </w:rPr>
        <w:t>2</w:t>
      </w:r>
      <w:r>
        <w:rPr>
          <w:rFonts w:hint="eastAsia" w:ascii="仿宋" w:hAnsi="仿宋" w:eastAsia="仿宋" w:cs="仿宋"/>
          <w:sz w:val="24"/>
          <w:szCs w:val="24"/>
        </w:rPr>
        <w:t xml:space="preserve"> + 1/2O</w:t>
      </w:r>
      <w:r>
        <w:rPr>
          <w:rFonts w:hint="eastAsia" w:ascii="仿宋" w:hAnsi="仿宋" w:eastAsia="仿宋" w:cs="仿宋"/>
          <w:sz w:val="24"/>
          <w:szCs w:val="24"/>
          <w:vertAlign w:val="subscript"/>
        </w:rPr>
        <w:t>2</w:t>
      </w:r>
      <w:r>
        <w:rPr>
          <w:rFonts w:hint="eastAsia" w:ascii="仿宋" w:hAnsi="仿宋" w:eastAsia="仿宋" w:cs="仿宋"/>
          <w:sz w:val="24"/>
          <w:szCs w:val="24"/>
        </w:rPr>
        <w:t>=SO</w:t>
      </w:r>
      <w:r>
        <w:rPr>
          <w:rFonts w:hint="eastAsia" w:ascii="仿宋" w:hAnsi="仿宋" w:eastAsia="仿宋" w:cs="仿宋"/>
          <w:sz w:val="24"/>
          <w:szCs w:val="24"/>
          <w:vertAlign w:val="subscript"/>
        </w:rPr>
        <w:t>3</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SO</w:t>
      </w:r>
      <w:r>
        <w:rPr>
          <w:rFonts w:hint="eastAsia" w:ascii="仿宋" w:hAnsi="仿宋" w:eastAsia="仿宋" w:cs="仿宋"/>
          <w:sz w:val="24"/>
          <w:szCs w:val="24"/>
          <w:vertAlign w:val="subscript"/>
        </w:rPr>
        <w:t>3</w:t>
      </w:r>
      <w:r>
        <w:rPr>
          <w:rFonts w:hint="eastAsia" w:ascii="仿宋" w:hAnsi="仿宋" w:eastAsia="仿宋" w:cs="仿宋"/>
          <w:sz w:val="24"/>
          <w:szCs w:val="24"/>
        </w:rPr>
        <w:t xml:space="preserve"> + H2O=H</w:t>
      </w:r>
      <w:r>
        <w:rPr>
          <w:rFonts w:hint="eastAsia" w:ascii="仿宋" w:hAnsi="仿宋" w:eastAsia="仿宋" w:cs="仿宋"/>
          <w:sz w:val="24"/>
          <w:szCs w:val="24"/>
          <w:vertAlign w:val="subscript"/>
        </w:rPr>
        <w:t>2</w:t>
      </w:r>
      <w:r>
        <w:rPr>
          <w:rFonts w:hint="eastAsia" w:ascii="仿宋" w:hAnsi="仿宋" w:eastAsia="仿宋" w:cs="仿宋"/>
          <w:sz w:val="24"/>
          <w:szCs w:val="24"/>
        </w:rPr>
        <w:t>SO</w:t>
      </w:r>
      <w:r>
        <w:rPr>
          <w:rFonts w:hint="eastAsia" w:ascii="仿宋" w:hAnsi="仿宋" w:eastAsia="仿宋" w:cs="仿宋"/>
          <w:sz w:val="24"/>
          <w:szCs w:val="24"/>
          <w:vertAlign w:val="subscript"/>
        </w:rPr>
        <w:t>4</w:t>
      </w:r>
      <w:r>
        <w:rPr>
          <w:rFonts w:hint="eastAsia" w:ascii="仿宋" w:hAnsi="仿宋" w:eastAsia="仿宋" w:cs="仿宋"/>
          <w:sz w:val="24"/>
          <w:szCs w:val="24"/>
        </w:rPr>
        <w:tab/>
      </w:r>
      <w:r>
        <w:rPr>
          <w:rFonts w:hint="eastAsia" w:ascii="仿宋" w:hAnsi="仿宋" w:eastAsia="仿宋" w:cs="仿宋"/>
          <w:sz w:val="24"/>
          <w:szCs w:val="24"/>
        </w:rPr>
        <w:t xml:space="preserve">       H</w:t>
      </w:r>
      <w:r>
        <w:rPr>
          <w:rFonts w:hint="eastAsia" w:ascii="仿宋" w:hAnsi="仿宋" w:eastAsia="仿宋" w:cs="仿宋"/>
          <w:sz w:val="24"/>
          <w:szCs w:val="24"/>
          <w:vertAlign w:val="subscript"/>
        </w:rPr>
        <w:t>2</w:t>
      </w:r>
      <w:r>
        <w:rPr>
          <w:rFonts w:hint="eastAsia" w:ascii="仿宋" w:hAnsi="仿宋" w:eastAsia="仿宋" w:cs="仿宋"/>
          <w:sz w:val="24"/>
          <w:szCs w:val="24"/>
        </w:rPr>
        <w:t>SO</w:t>
      </w:r>
      <w:r>
        <w:rPr>
          <w:rFonts w:hint="eastAsia" w:ascii="仿宋" w:hAnsi="仿宋" w:eastAsia="仿宋" w:cs="仿宋"/>
          <w:sz w:val="24"/>
          <w:szCs w:val="24"/>
          <w:vertAlign w:val="subscript"/>
        </w:rPr>
        <w:t>4</w:t>
      </w:r>
      <w:r>
        <w:rPr>
          <w:rFonts w:hint="eastAsia" w:ascii="仿宋" w:hAnsi="仿宋" w:eastAsia="仿宋" w:cs="仿宋"/>
          <w:sz w:val="24"/>
          <w:szCs w:val="24"/>
        </w:rPr>
        <w:t>+ SO</w:t>
      </w:r>
      <w:r>
        <w:rPr>
          <w:rFonts w:hint="eastAsia" w:ascii="仿宋" w:hAnsi="仿宋" w:eastAsia="仿宋" w:cs="仿宋"/>
          <w:sz w:val="24"/>
          <w:szCs w:val="24"/>
          <w:vertAlign w:val="subscript"/>
        </w:rPr>
        <w:t>3</w:t>
      </w:r>
      <w:r>
        <w:rPr>
          <w:rFonts w:hint="eastAsia" w:ascii="仿宋" w:hAnsi="仿宋" w:eastAsia="仿宋" w:cs="仿宋"/>
          <w:sz w:val="24"/>
          <w:szCs w:val="24"/>
        </w:rPr>
        <w:t>= H</w:t>
      </w:r>
      <w:r>
        <w:rPr>
          <w:rFonts w:hint="eastAsia" w:ascii="仿宋" w:hAnsi="仿宋" w:eastAsia="仿宋" w:cs="仿宋"/>
          <w:sz w:val="24"/>
          <w:szCs w:val="24"/>
          <w:vertAlign w:val="subscript"/>
        </w:rPr>
        <w:t>2</w:t>
      </w:r>
      <w:r>
        <w:rPr>
          <w:rFonts w:hint="eastAsia" w:ascii="仿宋" w:hAnsi="仿宋" w:eastAsia="仿宋" w:cs="仿宋"/>
          <w:sz w:val="24"/>
          <w:szCs w:val="24"/>
        </w:rPr>
        <w:t>SO</w:t>
      </w:r>
      <w:r>
        <w:rPr>
          <w:rFonts w:hint="eastAsia" w:ascii="仿宋" w:hAnsi="仿宋" w:eastAsia="仿宋" w:cs="仿宋"/>
          <w:sz w:val="24"/>
          <w:szCs w:val="24"/>
          <w:vertAlign w:val="subscript"/>
        </w:rPr>
        <w:t>4</w:t>
      </w:r>
      <w:r>
        <w:rPr>
          <w:rFonts w:hint="eastAsia" w:ascii="仿宋" w:hAnsi="仿宋" w:eastAsia="仿宋" w:cs="仿宋"/>
          <w:sz w:val="24"/>
          <w:szCs w:val="24"/>
        </w:rPr>
        <w:t>•SO</w:t>
      </w:r>
      <w:r>
        <w:rPr>
          <w:rFonts w:hint="eastAsia" w:ascii="仿宋" w:hAnsi="仿宋" w:eastAsia="仿宋" w:cs="仿宋"/>
          <w:sz w:val="24"/>
          <w:szCs w:val="24"/>
          <w:vertAlign w:val="subscript"/>
        </w:rPr>
        <w:t>3</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 工艺流程：</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1）焚硫转化工段 </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液体硫磺经精硫泵，通过机械喷嘴雾化后连续喷入焚硫炉内，与干燥空气混合后进行燃烧，生成含11％SO</w:t>
      </w:r>
      <w:r>
        <w:rPr>
          <w:rFonts w:hint="eastAsia" w:ascii="仿宋" w:hAnsi="仿宋" w:eastAsia="仿宋" w:cs="仿宋"/>
          <w:sz w:val="24"/>
          <w:szCs w:val="24"/>
          <w:vertAlign w:val="subscript"/>
        </w:rPr>
        <w:t>2</w:t>
      </w:r>
      <w:r>
        <w:rPr>
          <w:rFonts w:hint="eastAsia" w:ascii="仿宋" w:hAnsi="仿宋" w:eastAsia="仿宋" w:cs="仿宋"/>
          <w:sz w:val="24"/>
          <w:szCs w:val="24"/>
        </w:rPr>
        <w:t>，温度～1100℃高温炉气。经中压废热锅炉回收高温热量，使炉气温度降至380－390℃，补充适量高温烟气后使炉气温度达到420℃，SO</w:t>
      </w:r>
      <w:r>
        <w:rPr>
          <w:rFonts w:hint="eastAsia" w:ascii="仿宋" w:hAnsi="仿宋" w:eastAsia="仿宋" w:cs="仿宋"/>
          <w:sz w:val="24"/>
          <w:szCs w:val="24"/>
          <w:vertAlign w:val="subscript"/>
        </w:rPr>
        <w:t>2</w:t>
      </w:r>
      <w:r>
        <w:rPr>
          <w:rFonts w:hint="eastAsia" w:ascii="仿宋" w:hAnsi="仿宋" w:eastAsia="仿宋" w:cs="仿宋"/>
          <w:sz w:val="24"/>
          <w:szCs w:val="24"/>
        </w:rPr>
        <w:t>浓度11％进入转化器第一段催化剂层。炉气经反应升温后进入一段蒸汽过热器换热冷却 445℃进入第二段催化剂层反应， 从二段出来的气体换热冷却至445℃后进入第三段催化剂层反应，出三段的 炉气经换热冷却至184℃，同时进入发烟酸吸收塔和一吸塔，在三段省煤器 进口和出口分别抽出部分SO3气体，使温度调节到260℃左右作为生产氯磺 酸的原料。SO</w:t>
      </w:r>
      <w:r>
        <w:rPr>
          <w:rFonts w:hint="eastAsia" w:ascii="仿宋" w:hAnsi="仿宋" w:eastAsia="仿宋" w:cs="仿宋"/>
          <w:sz w:val="24"/>
          <w:szCs w:val="24"/>
          <w:vertAlign w:val="subscript"/>
        </w:rPr>
        <w:t>3</w:t>
      </w:r>
      <w:r>
        <w:rPr>
          <w:rFonts w:hint="eastAsia" w:ascii="仿宋" w:hAnsi="仿宋" w:eastAsia="仿宋" w:cs="仿宋"/>
          <w:sz w:val="24"/>
          <w:szCs w:val="24"/>
        </w:rPr>
        <w:t>被吸收后的炉气加热至420℃左右进入转化器第四段催化剂层反应，出四段炉气通过省煤器换热后进入二吸塔进行二次吸收。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2）干吸及成品工段</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空气经空气过滤器进入干燥塔，塔内用 96%硫酸吸收空气中水份，并经塔顶除雾器除去酸沫后，经压缩升温后送到焚硫炉。</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干燥和吸收酸循环系统均采用泵后冷却流程，即塔→槽→泵→酸冷却器→ 塔的循环过程。</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通过引入一吸收塔酸冷却器后的98.3％酸来调节干燥酸浓度，二个吸收塔的酸浓通过加入干燥酸冷却器的干燥酸和加水调节。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一次转化后的气体，一部分进入烟酸塔，塔内用104.5％发烟硫酸淋洒，吸收其中一部分SO</w:t>
      </w:r>
      <w:r>
        <w:rPr>
          <w:rFonts w:hint="eastAsia" w:ascii="仿宋" w:hAnsi="仿宋" w:eastAsia="仿宋" w:cs="仿宋"/>
          <w:sz w:val="24"/>
          <w:szCs w:val="24"/>
          <w:vertAlign w:val="subscript"/>
        </w:rPr>
        <w:t>3</w:t>
      </w:r>
      <w:r>
        <w:rPr>
          <w:rFonts w:hint="eastAsia" w:ascii="仿宋" w:hAnsi="仿宋" w:eastAsia="仿宋" w:cs="仿宋"/>
          <w:sz w:val="24"/>
          <w:szCs w:val="24"/>
        </w:rPr>
        <w:t>后的气体并入一吸塔进口。一次转化气大部分直接进入一吸收塔，该塔用98.3％硫酸淋洒，以吸收气体中SO</w:t>
      </w:r>
      <w:r>
        <w:rPr>
          <w:rFonts w:hint="eastAsia" w:ascii="仿宋" w:hAnsi="仿宋" w:eastAsia="仿宋" w:cs="仿宋"/>
          <w:sz w:val="24"/>
          <w:szCs w:val="24"/>
          <w:vertAlign w:val="subscript"/>
        </w:rPr>
        <w:t>3</w:t>
      </w:r>
      <w:r>
        <w:rPr>
          <w:rFonts w:hint="eastAsia" w:ascii="仿宋" w:hAnsi="仿宋" w:eastAsia="仿宋" w:cs="仿宋"/>
          <w:sz w:val="24"/>
          <w:szCs w:val="24"/>
        </w:rPr>
        <w:t>，吸收后的气体去转化器第四段催化剂层进行第二次转化。</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经二次转化后的气体，进入二吸塔，塔内用98.3％硫酸淋洒吸收SO</w:t>
      </w:r>
      <w:r>
        <w:rPr>
          <w:rFonts w:hint="eastAsia" w:ascii="仿宋" w:hAnsi="仿宋" w:eastAsia="仿宋" w:cs="仿宋"/>
          <w:sz w:val="24"/>
          <w:szCs w:val="24"/>
          <w:vertAlign w:val="subscript"/>
        </w:rPr>
        <w:t>3</w:t>
      </w:r>
      <w:r>
        <w:rPr>
          <w:rFonts w:hint="eastAsia" w:ascii="仿宋" w:hAnsi="仿宋" w:eastAsia="仿宋" w:cs="仿宋"/>
          <w:sz w:val="24"/>
          <w:szCs w:val="24"/>
        </w:rPr>
        <w:t>后的尾气经63米烟囱放空。104.5％成品发烟硫酸，在冷却器出口引出。</w:t>
      </w:r>
    </w:p>
    <w:p>
      <w:pPr>
        <w:spacing w:line="360" w:lineRule="auto"/>
        <w:jc w:val="center"/>
        <w:rPr>
          <w:rFonts w:eastAsia="仿宋_GB2312" w:cs="Times New Roman"/>
        </w:rPr>
      </w:pPr>
      <w:r>
        <w:rPr>
          <w:position w:val="-74"/>
          <w:sz w:val="20"/>
        </w:rPr>
        <w:drawing>
          <wp:inline distT="0" distB="0" distL="0" distR="0">
            <wp:extent cx="5278120" cy="3056255"/>
            <wp:effectExtent l="9525" t="9525" r="20955" b="20320"/>
            <wp:docPr id="242" name="image13.jpeg" descr="C:\Users\Administrator\Desktop\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3.jpeg" descr="C:\Users\Administrator\Desktop\图片4.png图片4"/>
                    <pic:cNvPicPr>
                      <a:picLocks noChangeAspect="1"/>
                    </pic:cNvPicPr>
                  </pic:nvPicPr>
                  <pic:blipFill>
                    <a:blip r:embed="rId30"/>
                    <a:srcRect/>
                    <a:stretch>
                      <a:fillRect/>
                    </a:stretch>
                  </pic:blipFill>
                  <pic:spPr>
                    <a:xfrm>
                      <a:off x="0" y="0"/>
                      <a:ext cx="5278120" cy="3056255"/>
                    </a:xfrm>
                    <a:prstGeom prst="rect">
                      <a:avLst/>
                    </a:prstGeom>
                    <a:ln>
                      <a:solidFill>
                        <a:schemeClr val="tx1"/>
                      </a:solidFill>
                    </a:ln>
                  </pic:spPr>
                </pic:pic>
              </a:graphicData>
            </a:graphic>
          </wp:inline>
        </w:drawing>
      </w:r>
    </w:p>
    <w:p>
      <w:pPr>
        <w:spacing w:after="163" w:afterLines="50"/>
        <w:jc w:val="center"/>
        <w:rPr>
          <w:rFonts w:hint="eastAsia" w:ascii="仿宋" w:hAnsi="仿宋" w:eastAsia="仿宋" w:cs="仿宋"/>
          <w:b/>
          <w:bCs/>
          <w:sz w:val="21"/>
          <w:szCs w:val="21"/>
        </w:rPr>
      </w:pPr>
      <w:r>
        <w:rPr>
          <w:rFonts w:hint="eastAsia" w:ascii="仿宋" w:hAnsi="仿宋" w:eastAsia="仿宋" w:cs="仿宋"/>
          <w:b/>
          <w:bCs/>
          <w:sz w:val="21"/>
          <w:szCs w:val="21"/>
        </w:rPr>
        <w:t>图2.15 发烟硫酸生产工艺流程图</w:t>
      </w:r>
    </w:p>
    <w:p>
      <w:pPr>
        <w:spacing w:before="163" w:before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高危工艺判定结果： 通过分析，企业生产工艺中的电解工艺（氯碱）属于《重点监管危险化工工艺目录》中的重点监管危险工艺，无国家规定限期淘汰的工艺名录和设备。</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针对企业内存在的高危工艺，采取以下安全措施：企业将将电解槽内压力、槽电压等形成联锁关系，系统设立联锁停车系统。并采取安全设施，包括安全阀、高压阀、紧急排放阀、液位计、单向阀及紧急切断装置等。</w:t>
      </w:r>
    </w:p>
    <w:p>
      <w:pPr>
        <w:pStyle w:val="4"/>
        <w:spacing w:before="163" w:beforeLines="50" w:after="65" w:afterLines="20" w:line="360" w:lineRule="auto"/>
        <w:jc w:val="left"/>
        <w:rPr>
          <w:rFonts w:hint="eastAsia" w:ascii="仿宋" w:hAnsi="仿宋" w:eastAsia="仿宋" w:cs="仿宋"/>
          <w:sz w:val="24"/>
          <w:szCs w:val="24"/>
        </w:rPr>
      </w:pPr>
      <w:bookmarkStart w:id="176" w:name="_Toc26267527"/>
      <w:bookmarkStart w:id="177" w:name="_Toc7113"/>
      <w:r>
        <w:rPr>
          <w:rFonts w:hint="eastAsia" w:ascii="仿宋" w:hAnsi="仿宋" w:eastAsia="仿宋" w:cs="仿宋"/>
          <w:sz w:val="24"/>
          <w:szCs w:val="24"/>
        </w:rPr>
        <w:t>2.2.9 三废处理处置</w:t>
      </w:r>
      <w:bookmarkEnd w:id="176"/>
      <w:bookmarkEnd w:id="177"/>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公司自建厂伊始就在工艺设计、过程控制、设备选型、生产管理、污染物处理与排放等方面融入清洁生产、循环经济和环境保护的思想和理念，力求从源头和多个方面和层次上减少污染物的产生和排放。公司建有完备的具有国际先进水平的废气、污水控制系统和其他环保设施，自建厂以来至今一切运行正常。</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1．废气收集、处理与排放</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公司废气主要是硫磺制酸项目吸收塔尾气，氯系列产品项目吸收塔尾气和氯处理工段事故尾气。</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其中：（1）硫酸生产装置产生的废气采用经动力波烟气洗涤塔（去除效率 85%）处理后气体通过100米高烟囱有组织排放。动力波烟气洗涤采用双氧水作为脱硫剂脱除硫酸尾气中的二氧化硫。将浓度15%的双氧水和软水通过逆喷循环泵提升至动力波塔逆喷管中，吸收剂双氧水在逆喷管中和含有二氧化硫的硫酸尾气逆向接触。泡沫区使液滴不断的冷却和更新，迅速冷却烟气和吸收二氧化硫，接触后的液体进入塔底，再通过稀硫酸排液泵将稀硫酸排出进入稀硫酸贮槽，然后通过稀硫酸输送泵返回制酸系统中进行回用。吸收后的烟气通过填料层进一步的吸收去除二氧化硫，然后烟气进入高效专用除雾器，除去夹带的液滴，进入烟囱高空排放（温度27℃）；本系统丢失水分通过液位控制系统补加软水。</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（2）氯系列产品项目盐酸合成工段氯化氢两级碱洗吸收后，通过25 m高排气塔排放。氯处理工段事故尾气中氯气采用碱液吸收。</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①盐酸合成工段的HCl尾气</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氢气与氯气在三合一石墨合成炉内合成HCl后，从炉下方排出的即为合格的高纯盐酸；出“三合一”石墨炉的尾气中主要含HCl，进HCl尾气处理装置进行处理。尾气首先进入降膜吸收塔用纯水吸收，生成的稀酸返回石墨炉进一步增浓，出塔废气进入尾气吸收塔用稀酸循环喷射吸收，吸收后酸回到降膜吸收塔，无废水外排。</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由于HCl为易溶于水的气体，因而用纯水吸收效果较好。本项目中HCl经三合一石墨炉、降膜吸收塔、尾气吸收塔和水喷射泵多级吸收后，生产过程中氯化氢总吸收效率可达99.999％以上（其中尾气吸收塔和水喷射泵 对氯化氢的去除效率为99％），经吸收后尾气中氯化氢浓度很低，能够实现达标排放。</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②Cl</w:t>
      </w:r>
      <w:r>
        <w:rPr>
          <w:rFonts w:hint="eastAsia" w:ascii="仿宋" w:hAnsi="仿宋" w:eastAsia="仿宋" w:cs="仿宋"/>
          <w:sz w:val="24"/>
          <w:szCs w:val="24"/>
          <w:vertAlign w:val="subscript"/>
        </w:rPr>
        <w:t>2</w:t>
      </w:r>
      <w:r>
        <w:rPr>
          <w:rFonts w:hint="eastAsia" w:ascii="仿宋" w:hAnsi="仿宋" w:eastAsia="仿宋" w:cs="仿宋"/>
          <w:sz w:val="24"/>
          <w:szCs w:val="24"/>
        </w:rPr>
        <w:t>事故吸收塔尾气</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本装置存在各类Cl</w:t>
      </w:r>
      <w:r>
        <w:rPr>
          <w:rFonts w:hint="eastAsia" w:ascii="仿宋" w:hAnsi="仿宋" w:eastAsia="仿宋" w:cs="仿宋"/>
          <w:sz w:val="24"/>
          <w:szCs w:val="24"/>
          <w:vertAlign w:val="subscript"/>
        </w:rPr>
        <w:t>2</w:t>
      </w:r>
      <w:r>
        <w:rPr>
          <w:rFonts w:hint="eastAsia" w:ascii="仿宋" w:hAnsi="仿宋" w:eastAsia="仿宋" w:cs="仿宋"/>
          <w:sz w:val="24"/>
          <w:szCs w:val="24"/>
        </w:rPr>
        <w:t xml:space="preserve"> 事故排放，包括：</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a、电解槽开、停车排放的低浓度 Cl</w:t>
      </w:r>
      <w:r>
        <w:rPr>
          <w:rFonts w:hint="eastAsia" w:ascii="仿宋" w:hAnsi="仿宋" w:eastAsia="仿宋" w:cs="仿宋"/>
          <w:sz w:val="24"/>
          <w:szCs w:val="24"/>
          <w:vertAlign w:val="subscript"/>
        </w:rPr>
        <w:t>2</w:t>
      </w:r>
      <w:r>
        <w:rPr>
          <w:rFonts w:hint="eastAsia" w:ascii="仿宋" w:hAnsi="仿宋" w:eastAsia="仿宋" w:cs="仿宋"/>
          <w:sz w:val="24"/>
          <w:szCs w:val="24"/>
        </w:rPr>
        <w:t>；</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b、氯气系统发生事故时逸出的 Cl</w:t>
      </w:r>
      <w:r>
        <w:rPr>
          <w:rFonts w:hint="eastAsia" w:ascii="仿宋" w:hAnsi="仿宋" w:eastAsia="仿宋" w:cs="仿宋"/>
          <w:sz w:val="24"/>
          <w:szCs w:val="24"/>
          <w:vertAlign w:val="subscript"/>
        </w:rPr>
        <w:t>2</w:t>
      </w:r>
      <w:r>
        <w:rPr>
          <w:rFonts w:hint="eastAsia" w:ascii="仿宋" w:hAnsi="仿宋" w:eastAsia="仿宋" w:cs="仿宋"/>
          <w:sz w:val="24"/>
          <w:szCs w:val="24"/>
        </w:rPr>
        <w:t>；</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c、其他非正常工况下排放的 Cl</w:t>
      </w:r>
      <w:r>
        <w:rPr>
          <w:rFonts w:hint="eastAsia" w:ascii="仿宋" w:hAnsi="仿宋" w:eastAsia="仿宋" w:cs="仿宋"/>
          <w:sz w:val="24"/>
          <w:szCs w:val="24"/>
          <w:vertAlign w:val="subscript"/>
        </w:rPr>
        <w:t>2</w:t>
      </w:r>
      <w:r>
        <w:rPr>
          <w:rFonts w:hint="eastAsia" w:ascii="仿宋" w:hAnsi="仿宋" w:eastAsia="仿宋" w:cs="仿宋"/>
          <w:sz w:val="24"/>
          <w:szCs w:val="24"/>
        </w:rPr>
        <w:t>。</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本装置将各类事故排放的Cl</w:t>
      </w:r>
      <w:r>
        <w:rPr>
          <w:rFonts w:hint="eastAsia" w:ascii="仿宋" w:hAnsi="仿宋" w:eastAsia="仿宋" w:cs="仿宋"/>
          <w:sz w:val="24"/>
          <w:szCs w:val="24"/>
          <w:vertAlign w:val="subscript"/>
        </w:rPr>
        <w:t>2</w:t>
      </w:r>
      <w:r>
        <w:rPr>
          <w:rFonts w:hint="eastAsia" w:ascii="仿宋" w:hAnsi="仿宋" w:eastAsia="仿宋" w:cs="仿宋"/>
          <w:sz w:val="24"/>
          <w:szCs w:val="24"/>
        </w:rPr>
        <w:t>集中送至Cl</w:t>
      </w:r>
      <w:r>
        <w:rPr>
          <w:rFonts w:hint="eastAsia" w:ascii="仿宋" w:hAnsi="仿宋" w:eastAsia="仿宋" w:cs="仿宋"/>
          <w:sz w:val="24"/>
          <w:szCs w:val="24"/>
          <w:vertAlign w:val="subscript"/>
        </w:rPr>
        <w:t>2</w:t>
      </w:r>
      <w:r>
        <w:rPr>
          <w:rFonts w:hint="eastAsia" w:ascii="仿宋" w:hAnsi="仿宋" w:eastAsia="仿宋" w:cs="仿宋"/>
          <w:sz w:val="24"/>
          <w:szCs w:val="24"/>
        </w:rPr>
        <w:t>事故吸收塔，用碱液（NaOH）进行吸收处理，Cl</w:t>
      </w:r>
      <w:r>
        <w:rPr>
          <w:rFonts w:hint="eastAsia" w:ascii="仿宋" w:hAnsi="仿宋" w:eastAsia="仿宋" w:cs="仿宋"/>
          <w:sz w:val="24"/>
          <w:szCs w:val="24"/>
          <w:vertAlign w:val="subscript"/>
        </w:rPr>
        <w:t>2</w:t>
      </w:r>
      <w:r>
        <w:rPr>
          <w:rFonts w:hint="eastAsia" w:ascii="仿宋" w:hAnsi="仿宋" w:eastAsia="仿宋" w:cs="仿宋"/>
          <w:sz w:val="24"/>
          <w:szCs w:val="24"/>
        </w:rPr>
        <w:t>总吸收效率可以达到99.8%，生成的次氯酸钠送次氯酸钠工段。</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为确保Cl</w:t>
      </w:r>
      <w:r>
        <w:rPr>
          <w:rFonts w:hint="eastAsia" w:ascii="仿宋" w:hAnsi="仿宋" w:eastAsia="仿宋" w:cs="仿宋"/>
          <w:sz w:val="24"/>
          <w:szCs w:val="24"/>
          <w:vertAlign w:val="subscript"/>
        </w:rPr>
        <w:t>2</w:t>
      </w:r>
      <w:r>
        <w:rPr>
          <w:rFonts w:hint="eastAsia" w:ascii="仿宋" w:hAnsi="仿宋" w:eastAsia="仿宋" w:cs="仿宋"/>
          <w:sz w:val="24"/>
          <w:szCs w:val="24"/>
        </w:rPr>
        <w:t>的吸收效果，对Cl</w:t>
      </w:r>
      <w:r>
        <w:rPr>
          <w:rFonts w:hint="eastAsia" w:ascii="仿宋" w:hAnsi="仿宋" w:eastAsia="仿宋" w:cs="仿宋"/>
          <w:sz w:val="24"/>
          <w:szCs w:val="24"/>
          <w:vertAlign w:val="subscript"/>
        </w:rPr>
        <w:t>2</w:t>
      </w:r>
      <w:r>
        <w:rPr>
          <w:rFonts w:hint="eastAsia" w:ascii="仿宋" w:hAnsi="仿宋" w:eastAsia="仿宋" w:cs="仿宋"/>
          <w:sz w:val="24"/>
          <w:szCs w:val="24"/>
        </w:rPr>
        <w:t>吸收系统和生产装置系统设置联动装置，只要生产装置系统一工作，Cl</w:t>
      </w:r>
      <w:r>
        <w:rPr>
          <w:rFonts w:hint="eastAsia" w:ascii="仿宋" w:hAnsi="仿宋" w:eastAsia="仿宋" w:cs="仿宋"/>
          <w:sz w:val="24"/>
          <w:szCs w:val="24"/>
          <w:vertAlign w:val="subscript"/>
        </w:rPr>
        <w:t>2</w:t>
      </w:r>
      <w:r>
        <w:rPr>
          <w:rFonts w:hint="eastAsia" w:ascii="仿宋" w:hAnsi="仿宋" w:eastAsia="仿宋" w:cs="仿宋"/>
          <w:sz w:val="24"/>
          <w:szCs w:val="24"/>
        </w:rPr>
        <w:t>吸收系统立即启动、并24小时运行。吸收塔设计有效吸收Cl</w:t>
      </w:r>
      <w:r>
        <w:rPr>
          <w:rFonts w:hint="eastAsia" w:ascii="仿宋" w:hAnsi="仿宋" w:eastAsia="仿宋" w:cs="仿宋"/>
          <w:sz w:val="24"/>
          <w:szCs w:val="24"/>
          <w:vertAlign w:val="subscript"/>
        </w:rPr>
        <w:t>2</w:t>
      </w:r>
      <w:r>
        <w:rPr>
          <w:rFonts w:hint="eastAsia" w:ascii="仿宋" w:hAnsi="仿宋" w:eastAsia="仿宋" w:cs="仿宋"/>
          <w:sz w:val="24"/>
          <w:szCs w:val="24"/>
        </w:rPr>
        <w:t>量为200 kg／min。在正常情况下，生产系统不出现Cl</w:t>
      </w:r>
      <w:r>
        <w:rPr>
          <w:rFonts w:hint="eastAsia" w:ascii="仿宋" w:hAnsi="仿宋" w:eastAsia="仿宋" w:cs="仿宋"/>
          <w:sz w:val="24"/>
          <w:szCs w:val="24"/>
          <w:vertAlign w:val="subscript"/>
        </w:rPr>
        <w:t>2</w:t>
      </w:r>
      <w:r>
        <w:rPr>
          <w:rFonts w:hint="eastAsia" w:ascii="仿宋" w:hAnsi="仿宋" w:eastAsia="仿宋" w:cs="仿宋"/>
          <w:sz w:val="24"/>
          <w:szCs w:val="24"/>
        </w:rPr>
        <w:t>排放，仅有少量Cl</w:t>
      </w:r>
      <w:r>
        <w:rPr>
          <w:rFonts w:hint="eastAsia" w:ascii="仿宋" w:hAnsi="仿宋" w:eastAsia="仿宋" w:cs="仿宋"/>
          <w:sz w:val="24"/>
          <w:szCs w:val="24"/>
          <w:vertAlign w:val="subscript"/>
        </w:rPr>
        <w:t>2</w:t>
      </w:r>
      <w:r>
        <w:rPr>
          <w:rFonts w:hint="eastAsia" w:ascii="仿宋" w:hAnsi="仿宋" w:eastAsia="仿宋" w:cs="仿宋"/>
          <w:sz w:val="24"/>
          <w:szCs w:val="24"/>
        </w:rPr>
        <w:t>进入吸收塔，Cl</w:t>
      </w:r>
      <w:r>
        <w:rPr>
          <w:rFonts w:hint="eastAsia" w:ascii="仿宋" w:hAnsi="仿宋" w:eastAsia="仿宋" w:cs="仿宋"/>
          <w:sz w:val="24"/>
          <w:szCs w:val="24"/>
          <w:vertAlign w:val="subscript"/>
        </w:rPr>
        <w:t>2</w:t>
      </w:r>
      <w:r>
        <w:rPr>
          <w:rFonts w:hint="eastAsia" w:ascii="仿宋" w:hAnsi="仿宋" w:eastAsia="仿宋" w:cs="仿宋"/>
          <w:sz w:val="24"/>
          <w:szCs w:val="24"/>
        </w:rPr>
        <w:t>量远低于吸收塔处理能力，吸收系统基本上属空载运行。一旦发生事故，生产系统立即自动停止工作，电解槽不再生成Cl</w:t>
      </w:r>
      <w:r>
        <w:rPr>
          <w:rFonts w:hint="eastAsia" w:ascii="仿宋" w:hAnsi="仿宋" w:eastAsia="仿宋" w:cs="仿宋"/>
          <w:sz w:val="24"/>
          <w:szCs w:val="24"/>
          <w:vertAlign w:val="subscript"/>
        </w:rPr>
        <w:t>2</w:t>
      </w:r>
      <w:r>
        <w:rPr>
          <w:rFonts w:hint="eastAsia" w:ascii="仿宋" w:hAnsi="仿宋" w:eastAsia="仿宋" w:cs="仿宋"/>
          <w:sz w:val="24"/>
          <w:szCs w:val="24"/>
        </w:rPr>
        <w:t>，管道中的残余氯气即被送进吸收塔被碱液吸收。此外，该吸收系统设计采用双回路供电，以保证Cl</w:t>
      </w:r>
      <w:r>
        <w:rPr>
          <w:rFonts w:hint="eastAsia" w:ascii="仿宋" w:hAnsi="仿宋" w:eastAsia="仿宋" w:cs="仿宋"/>
          <w:sz w:val="24"/>
          <w:szCs w:val="24"/>
          <w:vertAlign w:val="subscript"/>
        </w:rPr>
        <w:t>2</w:t>
      </w:r>
      <w:r>
        <w:rPr>
          <w:rFonts w:hint="eastAsia" w:ascii="仿宋" w:hAnsi="仿宋" w:eastAsia="仿宋" w:cs="仿宋"/>
          <w:sz w:val="24"/>
          <w:szCs w:val="24"/>
        </w:rPr>
        <w:t>吸收系统不间断运行。</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为保证事故氯吸收装置效率，在运行中对液碱浓度进行例行检测，控制吸收塔内次氯酸钠浓度不超过4-5%，从而保证事故氯的吸收效率达99.8％以上。经处理后尾气中Cl</w:t>
      </w:r>
      <w:r>
        <w:rPr>
          <w:rFonts w:hint="eastAsia" w:ascii="仿宋" w:hAnsi="仿宋" w:eastAsia="仿宋" w:cs="仿宋"/>
          <w:sz w:val="24"/>
          <w:szCs w:val="24"/>
          <w:vertAlign w:val="subscript"/>
        </w:rPr>
        <w:t>2</w:t>
      </w:r>
      <w:r>
        <w:rPr>
          <w:rFonts w:hint="eastAsia" w:ascii="仿宋" w:hAnsi="仿宋" w:eastAsia="仿宋" w:cs="仿宋"/>
          <w:sz w:val="24"/>
          <w:szCs w:val="24"/>
        </w:rPr>
        <w:t>排放浓度约为60 mg/m</w:t>
      </w:r>
      <w:r>
        <w:rPr>
          <w:rFonts w:hint="eastAsia" w:ascii="仿宋" w:hAnsi="仿宋" w:eastAsia="仿宋" w:cs="仿宋"/>
          <w:sz w:val="24"/>
          <w:szCs w:val="24"/>
          <w:vertAlign w:val="superscript"/>
        </w:rPr>
        <w:t>3</w:t>
      </w:r>
      <w:r>
        <w:rPr>
          <w:rFonts w:hint="eastAsia" w:ascii="仿宋" w:hAnsi="仿宋" w:eastAsia="仿宋" w:cs="仿宋"/>
          <w:sz w:val="24"/>
          <w:szCs w:val="24"/>
        </w:rPr>
        <w:t>，低于《大气污染物综合排放标准》(GB16297—1996)的限值。事故氯装置吸收液送往次氯酸钠装置，继续通氯进行反应制备次氯酸钠。</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③次氯酸钠吸收尾气</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次氯酸钠生产工段的Cl</w:t>
      </w:r>
      <w:r>
        <w:rPr>
          <w:rFonts w:hint="eastAsia" w:ascii="仿宋" w:hAnsi="仿宋" w:eastAsia="仿宋" w:cs="仿宋"/>
          <w:sz w:val="24"/>
          <w:szCs w:val="24"/>
          <w:vertAlign w:val="subscript"/>
        </w:rPr>
        <w:t>2</w:t>
      </w:r>
      <w:r>
        <w:rPr>
          <w:rFonts w:hint="eastAsia" w:ascii="仿宋" w:hAnsi="仿宋" w:eastAsia="仿宋" w:cs="仿宋"/>
          <w:sz w:val="24"/>
          <w:szCs w:val="24"/>
        </w:rPr>
        <w:t>采用两级碱液吸收，生成次氯酸钠，生产过程中Cl</w:t>
      </w:r>
      <w:r>
        <w:rPr>
          <w:rFonts w:hint="eastAsia" w:ascii="仿宋" w:hAnsi="仿宋" w:eastAsia="仿宋" w:cs="仿宋"/>
          <w:sz w:val="24"/>
          <w:szCs w:val="24"/>
          <w:vertAlign w:val="subscript"/>
        </w:rPr>
        <w:t>2</w:t>
      </w:r>
      <w:r>
        <w:rPr>
          <w:rFonts w:hint="eastAsia" w:ascii="仿宋" w:hAnsi="仿宋" w:eastAsia="仿宋" w:cs="仿宋"/>
          <w:sz w:val="24"/>
          <w:szCs w:val="24"/>
        </w:rPr>
        <w:t>总吸收效率为99.99%（包括填料塔，其中尾气处理部分的吸收效率为99.9％），经处理后其尾气中氯气排放浓度能够达标排放。</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2．废水收集、处理与排放</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公司已经按照清污分流的原则，铺设了污水管网和雨水管网。</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企业对生产废水、生活污水与初期雨水均设立了废水收集系统，实现了雨污分流。公司主要生产废水主要污染物为pH、SS，且污染物浓度较低，采取中和沉淀对其进行预处理后，接入保税区胜科水务处理。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公司生产清下水主要是循环冷却排水和锅炉排污水，其水质可以满足化工园区清下水标准，直接排入园区的清下水管网。</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生活污水经化粪池处理后，与生产废水一起接入市政管网。</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因此在排口设置上公司设一个雨水排口，一个污水排放口，同时对车间废水收集池、污水管线、初期雨水收集池及排口等均按规范要求设置了标志牌。</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厂内雨水池、污水排放井都安装了水质在线监控装置，监控指标为pH。</w:t>
      </w:r>
    </w:p>
    <w:p>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3．固废暂存、处理与处置</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氯碱项目固废主要为二次盐水精制产生的废树脂，硫酸项目固废主要为转化器产生的废催化剂以及公用系统产生的废矿物油。</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废树脂委托张家港市华瑞危险废物处理中心有限公司进行处置；废催化剂委托江苏弘成环保科技有限公司进行处置；废矿物油委托昆山太和环保实业有限公司处置。</w:t>
      </w:r>
    </w:p>
    <w:p>
      <w:pPr>
        <w:pStyle w:val="57"/>
        <w:adjustRightInd/>
        <w:spacing w:before="163" w:beforeLines="50"/>
        <w:jc w:val="center"/>
        <w:rPr>
          <w:rFonts w:hint="default" w:ascii="Times New Roman" w:hAnsi="Times New Roman" w:eastAsia="仿宋"/>
          <w:b/>
          <w:bCs/>
          <w:sz w:val="21"/>
          <w:szCs w:val="21"/>
        </w:rPr>
      </w:pPr>
      <w:r>
        <w:rPr>
          <w:rFonts w:ascii="Times New Roman" w:hAnsi="Times New Roman" w:eastAsia="仿宋"/>
          <w:b/>
          <w:bCs/>
          <w:sz w:val="21"/>
          <w:szCs w:val="21"/>
        </w:rPr>
        <w:t>表2-</w:t>
      </w:r>
      <w:r>
        <w:rPr>
          <w:rFonts w:hint="eastAsia" w:ascii="Times New Roman" w:hAnsi="Times New Roman" w:eastAsia="仿宋"/>
          <w:b/>
          <w:bCs/>
          <w:sz w:val="21"/>
          <w:szCs w:val="21"/>
          <w:lang w:val="en-US" w:eastAsia="zh-CN"/>
        </w:rPr>
        <w:t>7</w:t>
      </w:r>
      <w:r>
        <w:rPr>
          <w:rFonts w:ascii="Times New Roman" w:hAnsi="Times New Roman" w:eastAsia="仿宋"/>
          <w:b/>
          <w:bCs/>
          <w:sz w:val="21"/>
          <w:szCs w:val="21"/>
        </w:rPr>
        <w:t xml:space="preserve"> 固废产生情况</w:t>
      </w:r>
    </w:p>
    <w:tbl>
      <w:tblPr>
        <w:tblStyle w:val="227"/>
        <w:tblW w:w="5000" w:type="pct"/>
        <w:tblInd w:w="0" w:type="dxa"/>
        <w:tblLayout w:type="autofit"/>
        <w:tblCellMar>
          <w:top w:w="0" w:type="dxa"/>
          <w:left w:w="0" w:type="dxa"/>
          <w:bottom w:w="0" w:type="dxa"/>
          <w:right w:w="0" w:type="dxa"/>
        </w:tblCellMar>
      </w:tblPr>
      <w:tblGrid>
        <w:gridCol w:w="1313"/>
        <w:gridCol w:w="1155"/>
        <w:gridCol w:w="1211"/>
        <w:gridCol w:w="498"/>
        <w:gridCol w:w="1000"/>
        <w:gridCol w:w="1682"/>
        <w:gridCol w:w="748"/>
        <w:gridCol w:w="962"/>
        <w:gridCol w:w="1201"/>
      </w:tblGrid>
      <w:tr>
        <w:tblPrEx>
          <w:tblCellMar>
            <w:top w:w="0" w:type="dxa"/>
            <w:left w:w="0" w:type="dxa"/>
            <w:bottom w:w="0" w:type="dxa"/>
            <w:right w:w="0" w:type="dxa"/>
          </w:tblCellMar>
        </w:tblPrEx>
        <w:trPr>
          <w:trHeight w:val="779" w:hRule="exact"/>
          <w:tblHeader/>
        </w:trPr>
        <w:tc>
          <w:tcPr>
            <w:tcW w:w="672" w:type="pct"/>
            <w:tcBorders>
              <w:top w:val="single" w:color="000000" w:sz="12" w:space="0"/>
              <w:left w:val="single" w:color="000000" w:sz="12" w:space="0"/>
              <w:bottom w:val="single" w:color="000000" w:sz="4" w:space="0"/>
              <w:right w:val="single" w:color="000000" w:sz="4" w:space="0"/>
            </w:tcBorders>
            <w:vAlign w:val="center"/>
          </w:tcPr>
          <w:p>
            <w:pPr>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名称</w:t>
            </w:r>
          </w:p>
        </w:tc>
        <w:tc>
          <w:tcPr>
            <w:tcW w:w="591" w:type="pct"/>
            <w:tcBorders>
              <w:top w:val="single" w:color="000000" w:sz="12"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分类</w:t>
            </w:r>
          </w:p>
          <w:p>
            <w:pPr>
              <w:spacing w:line="274" w:lineRule="exact"/>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编号</w:t>
            </w:r>
          </w:p>
        </w:tc>
        <w:tc>
          <w:tcPr>
            <w:tcW w:w="620" w:type="pct"/>
            <w:tcBorders>
              <w:top w:val="single" w:color="000000" w:sz="12"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产生量(t/a)</w:t>
            </w:r>
          </w:p>
        </w:tc>
        <w:tc>
          <w:tcPr>
            <w:tcW w:w="255" w:type="pct"/>
            <w:tcBorders>
              <w:top w:val="single" w:color="000000" w:sz="12"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性状</w:t>
            </w:r>
          </w:p>
        </w:tc>
        <w:tc>
          <w:tcPr>
            <w:tcW w:w="512" w:type="pct"/>
            <w:tcBorders>
              <w:top w:val="single" w:color="000000" w:sz="12" w:space="0"/>
              <w:left w:val="single" w:color="000000" w:sz="4" w:space="0"/>
              <w:bottom w:val="single" w:color="000000" w:sz="4" w:space="0"/>
              <w:right w:val="single" w:color="000000" w:sz="4" w:space="0"/>
            </w:tcBorders>
            <w:vAlign w:val="center"/>
          </w:tcPr>
          <w:p>
            <w:pPr>
              <w:spacing w:line="258" w:lineRule="exact"/>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含水率</w:t>
            </w:r>
          </w:p>
          <w:p>
            <w:pPr>
              <w:jc w:val="center"/>
              <w:rPr>
                <w:rFonts w:ascii="Times New Roman" w:hAnsi="Times New Roman" w:eastAsia="仿宋" w:cs="Times New Roman"/>
                <w:b/>
                <w:kern w:val="0"/>
                <w:sz w:val="21"/>
                <w:szCs w:val="21"/>
                <w:lang w:eastAsia="en-US"/>
              </w:rPr>
            </w:pPr>
            <w:r>
              <w:rPr>
                <w:rFonts w:ascii="Times New Roman" w:hAnsi="Times New Roman" w:eastAsia="仿宋" w:cs="Times New Roman"/>
                <w:b/>
                <w:w w:val="105"/>
                <w:kern w:val="0"/>
                <w:sz w:val="21"/>
                <w:szCs w:val="21"/>
                <w:lang w:eastAsia="en-US"/>
              </w:rPr>
              <w:t>(%)</w:t>
            </w:r>
          </w:p>
        </w:tc>
        <w:tc>
          <w:tcPr>
            <w:tcW w:w="861" w:type="pct"/>
            <w:tcBorders>
              <w:top w:val="single" w:color="000000" w:sz="12"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处理措施</w:t>
            </w:r>
          </w:p>
        </w:tc>
        <w:tc>
          <w:tcPr>
            <w:tcW w:w="383" w:type="pct"/>
            <w:tcBorders>
              <w:top w:val="single" w:color="000000" w:sz="12" w:space="0"/>
              <w:left w:val="single" w:color="000000" w:sz="4" w:space="0"/>
              <w:bottom w:val="single" w:color="000000" w:sz="4" w:space="0"/>
              <w:right w:val="single" w:color="000000" w:sz="4" w:space="0"/>
            </w:tcBorders>
            <w:vAlign w:val="center"/>
          </w:tcPr>
          <w:p>
            <w:pPr>
              <w:spacing w:line="240" w:lineRule="exact"/>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储存</w:t>
            </w:r>
          </w:p>
          <w:p>
            <w:pPr>
              <w:spacing w:line="274" w:lineRule="exact"/>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地点</w:t>
            </w:r>
          </w:p>
        </w:tc>
        <w:tc>
          <w:tcPr>
            <w:tcW w:w="492" w:type="pct"/>
            <w:tcBorders>
              <w:top w:val="single" w:color="000000" w:sz="12" w:space="0"/>
              <w:left w:val="single" w:color="000000" w:sz="4" w:space="0"/>
              <w:bottom w:val="single" w:color="000000" w:sz="4" w:space="0"/>
              <w:right w:val="single" w:color="000000" w:sz="4" w:space="0"/>
            </w:tcBorders>
            <w:vAlign w:val="center"/>
          </w:tcPr>
          <w:p>
            <w:pPr>
              <w:spacing w:line="182" w:lineRule="auto"/>
              <w:ind w:hanging="8"/>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最大储</w:t>
            </w:r>
            <w:r>
              <w:rPr>
                <w:rFonts w:ascii="Times New Roman" w:hAnsi="Times New Roman" w:eastAsia="仿宋" w:cs="Times New Roman"/>
                <w:b/>
                <w:spacing w:val="-102"/>
                <w:kern w:val="0"/>
                <w:sz w:val="21"/>
                <w:szCs w:val="21"/>
                <w:lang w:eastAsia="en-US"/>
              </w:rPr>
              <w:t xml:space="preserve"> </w:t>
            </w:r>
            <w:r>
              <w:rPr>
                <w:rFonts w:ascii="Times New Roman" w:hAnsi="Times New Roman" w:eastAsia="仿宋" w:cs="Times New Roman"/>
                <w:b/>
                <w:kern w:val="0"/>
                <w:sz w:val="21"/>
                <w:szCs w:val="21"/>
                <w:lang w:eastAsia="en-US"/>
              </w:rPr>
              <w:t>存量(t)</w:t>
            </w:r>
          </w:p>
        </w:tc>
        <w:tc>
          <w:tcPr>
            <w:tcW w:w="615" w:type="pct"/>
            <w:tcBorders>
              <w:top w:val="single" w:color="000000" w:sz="12" w:space="0"/>
              <w:left w:val="single" w:color="000000" w:sz="4" w:space="0"/>
              <w:bottom w:val="single" w:color="000000" w:sz="4" w:space="0"/>
              <w:right w:val="single" w:color="000000" w:sz="12" w:space="0"/>
            </w:tcBorders>
            <w:vAlign w:val="center"/>
          </w:tcPr>
          <w:p>
            <w:pPr>
              <w:spacing w:line="182" w:lineRule="auto"/>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 xml:space="preserve">处理处置 </w:t>
            </w:r>
            <w:r>
              <w:rPr>
                <w:rFonts w:ascii="Times New Roman" w:hAnsi="Times New Roman" w:eastAsia="仿宋" w:cs="Times New Roman"/>
                <w:b/>
                <w:w w:val="95"/>
                <w:kern w:val="0"/>
                <w:sz w:val="21"/>
                <w:szCs w:val="21"/>
                <w:lang w:eastAsia="en-US"/>
              </w:rPr>
              <w:t>量（t/a）</w:t>
            </w:r>
          </w:p>
        </w:tc>
      </w:tr>
      <w:tr>
        <w:tblPrEx>
          <w:tblCellMar>
            <w:top w:w="0" w:type="dxa"/>
            <w:left w:w="0" w:type="dxa"/>
            <w:bottom w:w="0" w:type="dxa"/>
            <w:right w:w="0" w:type="dxa"/>
          </w:tblCellMar>
        </w:tblPrEx>
        <w:trPr>
          <w:trHeight w:val="1203" w:hRule="exact"/>
        </w:trPr>
        <w:tc>
          <w:tcPr>
            <w:tcW w:w="672" w:type="pct"/>
            <w:tcBorders>
              <w:top w:val="single" w:color="000000" w:sz="4" w:space="0"/>
              <w:left w:val="single" w:color="000000" w:sz="12"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废树脂</w:t>
            </w:r>
          </w:p>
        </w:tc>
        <w:tc>
          <w:tcPr>
            <w:tcW w:w="591" w:type="pct"/>
            <w:tcBorders>
              <w:top w:val="single" w:color="000000" w:sz="4" w:space="0"/>
              <w:left w:val="single" w:color="000000" w:sz="4" w:space="0"/>
              <w:bottom w:val="single" w:color="000000" w:sz="4" w:space="0"/>
              <w:right w:val="single" w:color="000000" w:sz="4" w:space="0"/>
            </w:tcBorders>
            <w:vAlign w:val="center"/>
          </w:tcPr>
          <w:p>
            <w:pPr>
              <w:spacing w:line="184" w:lineRule="exact"/>
              <w:ind w:firstLine="208"/>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HW13</w:t>
            </w:r>
          </w:p>
          <w:p>
            <w:pPr>
              <w:spacing w:line="299"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w w:val="90"/>
                <w:kern w:val="0"/>
                <w:sz w:val="21"/>
                <w:szCs w:val="21"/>
                <w:lang w:eastAsia="en-US"/>
              </w:rPr>
              <w:t>900-015-13</w:t>
            </w:r>
          </w:p>
        </w:tc>
        <w:tc>
          <w:tcPr>
            <w:tcW w:w="620" w:type="pct"/>
            <w:tcBorders>
              <w:top w:val="single" w:color="000000" w:sz="4" w:space="0"/>
              <w:left w:val="single" w:color="000000" w:sz="4" w:space="0"/>
              <w:bottom w:val="single" w:color="000000" w:sz="4" w:space="0"/>
              <w:right w:val="single" w:color="000000" w:sz="4" w:space="0"/>
            </w:tcBorders>
            <w:vAlign w:val="center"/>
          </w:tcPr>
          <w:p>
            <w:pPr>
              <w:spacing w:line="367"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2.2</w:t>
            </w:r>
          </w:p>
        </w:tc>
        <w:tc>
          <w:tcPr>
            <w:tcW w:w="255"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固</w:t>
            </w:r>
          </w:p>
        </w:tc>
        <w:tc>
          <w:tcPr>
            <w:tcW w:w="512" w:type="pct"/>
            <w:tcBorders>
              <w:top w:val="single" w:color="000000" w:sz="4" w:space="0"/>
              <w:left w:val="single" w:color="000000" w:sz="4" w:space="0"/>
              <w:bottom w:val="single" w:color="000000" w:sz="4" w:space="0"/>
              <w:right w:val="single" w:color="000000" w:sz="4" w:space="0"/>
            </w:tcBorders>
            <w:vAlign w:val="center"/>
          </w:tcPr>
          <w:p>
            <w:pPr>
              <w:spacing w:line="367"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861" w:type="pct"/>
            <w:tcBorders>
              <w:top w:val="single" w:color="000000" w:sz="4" w:space="0"/>
              <w:left w:val="single" w:color="000000" w:sz="4" w:space="0"/>
              <w:bottom w:val="single" w:color="000000" w:sz="4" w:space="0"/>
              <w:right w:val="single" w:color="000000" w:sz="4" w:space="0"/>
            </w:tcBorders>
            <w:vAlign w:val="center"/>
          </w:tcPr>
          <w:p>
            <w:pPr>
              <w:spacing w:line="239" w:lineRule="exact"/>
              <w:jc w:val="center"/>
              <w:rPr>
                <w:rFonts w:ascii="Times New Roman" w:hAnsi="Times New Roman" w:eastAsia="仿宋" w:cs="Times New Roman"/>
                <w:kern w:val="0"/>
                <w:sz w:val="21"/>
                <w:szCs w:val="21"/>
                <w:lang w:eastAsia="zh-CN"/>
              </w:rPr>
            </w:pPr>
            <w:r>
              <w:rPr>
                <w:rFonts w:ascii="Times New Roman" w:hAnsi="Times New Roman" w:eastAsia="仿宋" w:cs="Times New Roman"/>
                <w:kern w:val="0"/>
                <w:sz w:val="21"/>
                <w:szCs w:val="21"/>
                <w:lang w:eastAsia="zh-CN"/>
              </w:rPr>
              <w:t>委托张家港市华瑞危险废物处理中心有限公司进行处置</w:t>
            </w:r>
          </w:p>
        </w:tc>
        <w:tc>
          <w:tcPr>
            <w:tcW w:w="383" w:type="pct"/>
            <w:vMerge w:val="restart"/>
            <w:tcBorders>
              <w:left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zh-CN"/>
              </w:rPr>
            </w:pPr>
          </w:p>
        </w:tc>
        <w:tc>
          <w:tcPr>
            <w:tcW w:w="492" w:type="pct"/>
            <w:tcBorders>
              <w:top w:val="single" w:color="000000" w:sz="4" w:space="0"/>
              <w:left w:val="single" w:color="000000" w:sz="4" w:space="0"/>
              <w:bottom w:val="single" w:color="000000" w:sz="4" w:space="0"/>
              <w:right w:val="single" w:color="000000" w:sz="4" w:space="0"/>
            </w:tcBorders>
            <w:vAlign w:val="center"/>
          </w:tcPr>
          <w:p>
            <w:pPr>
              <w:spacing w:line="367"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0.2</w:t>
            </w:r>
          </w:p>
        </w:tc>
        <w:tc>
          <w:tcPr>
            <w:tcW w:w="615" w:type="pct"/>
            <w:tcBorders>
              <w:top w:val="single" w:color="000000" w:sz="4" w:space="0"/>
              <w:left w:val="single" w:color="000000" w:sz="4" w:space="0"/>
              <w:bottom w:val="single" w:color="000000" w:sz="4" w:space="0"/>
              <w:right w:val="single" w:color="000000" w:sz="12" w:space="0"/>
            </w:tcBorders>
            <w:vAlign w:val="center"/>
          </w:tcPr>
          <w:p>
            <w:pPr>
              <w:spacing w:line="367"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2.2</w:t>
            </w:r>
          </w:p>
        </w:tc>
      </w:tr>
      <w:tr>
        <w:tblPrEx>
          <w:tblCellMar>
            <w:top w:w="0" w:type="dxa"/>
            <w:left w:w="0" w:type="dxa"/>
            <w:bottom w:w="0" w:type="dxa"/>
            <w:right w:w="0" w:type="dxa"/>
          </w:tblCellMar>
        </w:tblPrEx>
        <w:trPr>
          <w:trHeight w:val="866" w:hRule="exact"/>
        </w:trPr>
        <w:tc>
          <w:tcPr>
            <w:tcW w:w="672" w:type="pct"/>
            <w:tcBorders>
              <w:top w:val="single" w:color="000000" w:sz="4" w:space="0"/>
              <w:left w:val="single" w:color="000000" w:sz="12"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废矿物油</w:t>
            </w:r>
          </w:p>
        </w:tc>
        <w:tc>
          <w:tcPr>
            <w:tcW w:w="591" w:type="pct"/>
            <w:tcBorders>
              <w:top w:val="single" w:color="000000" w:sz="4" w:space="0"/>
              <w:left w:val="single" w:color="000000" w:sz="4" w:space="0"/>
              <w:bottom w:val="single" w:color="000000" w:sz="4" w:space="0"/>
              <w:right w:val="single" w:color="000000" w:sz="4" w:space="0"/>
            </w:tcBorders>
            <w:vAlign w:val="center"/>
          </w:tcPr>
          <w:p>
            <w:pPr>
              <w:spacing w:line="158" w:lineRule="auto"/>
              <w:ind w:firstLine="208"/>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HW08</w:t>
            </w:r>
            <w:r>
              <w:rPr>
                <w:rFonts w:ascii="Times New Roman" w:hAnsi="Times New Roman" w:eastAsia="仿宋" w:cs="Times New Roman"/>
                <w:w w:val="90"/>
                <w:kern w:val="0"/>
                <w:sz w:val="21"/>
                <w:szCs w:val="21"/>
                <w:lang w:eastAsia="en-US"/>
              </w:rPr>
              <w:t xml:space="preserve"> </w:t>
            </w:r>
            <w:r>
              <w:rPr>
                <w:rFonts w:ascii="Times New Roman" w:hAnsi="Times New Roman" w:eastAsia="仿宋" w:cs="Times New Roman"/>
                <w:spacing w:val="-1"/>
                <w:w w:val="90"/>
                <w:kern w:val="0"/>
                <w:sz w:val="21"/>
                <w:szCs w:val="21"/>
                <w:lang w:eastAsia="en-US"/>
              </w:rPr>
              <w:t>900-217-08</w:t>
            </w:r>
          </w:p>
        </w:tc>
        <w:tc>
          <w:tcPr>
            <w:tcW w:w="620"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w w:val="90"/>
                <w:kern w:val="0"/>
                <w:sz w:val="21"/>
                <w:szCs w:val="21"/>
                <w:lang w:eastAsia="en-US"/>
              </w:rPr>
              <w:t>5</w:t>
            </w:r>
          </w:p>
        </w:tc>
        <w:tc>
          <w:tcPr>
            <w:tcW w:w="255"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51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86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zh-CN"/>
              </w:rPr>
            </w:pPr>
            <w:r>
              <w:rPr>
                <w:rFonts w:hint="eastAsia" w:ascii="Times New Roman" w:hAnsi="Times New Roman" w:eastAsia="仿宋" w:cs="Times New Roman"/>
                <w:kern w:val="0"/>
                <w:sz w:val="21"/>
                <w:szCs w:val="21"/>
                <w:lang w:eastAsia="zh-CN"/>
              </w:rPr>
              <w:t>委托</w:t>
            </w:r>
            <w:r>
              <w:rPr>
                <w:rFonts w:ascii="Times New Roman" w:hAnsi="Times New Roman" w:eastAsia="仿宋" w:cs="Times New Roman"/>
                <w:kern w:val="0"/>
                <w:sz w:val="21"/>
                <w:szCs w:val="21"/>
                <w:lang w:eastAsia="zh-CN"/>
              </w:rPr>
              <w:t>昆山太和环保实业有限公司</w:t>
            </w:r>
          </w:p>
        </w:tc>
        <w:tc>
          <w:tcPr>
            <w:tcW w:w="383" w:type="pct"/>
            <w:vMerge w:val="continue"/>
            <w:tcBorders>
              <w:left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zh-CN"/>
              </w:rPr>
            </w:pPr>
          </w:p>
        </w:tc>
        <w:tc>
          <w:tcPr>
            <w:tcW w:w="49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0.2</w:t>
            </w:r>
          </w:p>
        </w:tc>
        <w:tc>
          <w:tcPr>
            <w:tcW w:w="615" w:type="pct"/>
            <w:tcBorders>
              <w:top w:val="single" w:color="000000" w:sz="4" w:space="0"/>
              <w:left w:val="single" w:color="000000" w:sz="4" w:space="0"/>
              <w:bottom w:val="single" w:color="000000" w:sz="4" w:space="0"/>
              <w:right w:val="single" w:color="000000" w:sz="12"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w w:val="90"/>
                <w:kern w:val="0"/>
                <w:sz w:val="21"/>
                <w:szCs w:val="21"/>
                <w:lang w:eastAsia="en-US"/>
              </w:rPr>
              <w:t>5</w:t>
            </w:r>
          </w:p>
        </w:tc>
      </w:tr>
      <w:tr>
        <w:tblPrEx>
          <w:tblCellMar>
            <w:top w:w="0" w:type="dxa"/>
            <w:left w:w="0" w:type="dxa"/>
            <w:bottom w:w="0" w:type="dxa"/>
            <w:right w:w="0" w:type="dxa"/>
          </w:tblCellMar>
        </w:tblPrEx>
        <w:trPr>
          <w:trHeight w:val="826" w:hRule="exact"/>
        </w:trPr>
        <w:tc>
          <w:tcPr>
            <w:tcW w:w="672" w:type="pct"/>
            <w:tcBorders>
              <w:top w:val="single" w:color="000000" w:sz="4" w:space="0"/>
              <w:left w:val="single" w:color="000000" w:sz="12"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废催化剂</w:t>
            </w:r>
          </w:p>
        </w:tc>
        <w:tc>
          <w:tcPr>
            <w:tcW w:w="591" w:type="pct"/>
            <w:tcBorders>
              <w:top w:val="single" w:color="000000" w:sz="4" w:space="0"/>
              <w:left w:val="single" w:color="000000" w:sz="4" w:space="0"/>
              <w:bottom w:val="single" w:color="000000" w:sz="4" w:space="0"/>
              <w:right w:val="single" w:color="000000" w:sz="4" w:space="0"/>
            </w:tcBorders>
            <w:vAlign w:val="center"/>
          </w:tcPr>
          <w:p>
            <w:pPr>
              <w:spacing w:line="182" w:lineRule="auto"/>
              <w:ind w:firstLine="208"/>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HW50</w:t>
            </w:r>
            <w:r>
              <w:rPr>
                <w:rFonts w:ascii="Times New Roman" w:hAnsi="Times New Roman" w:eastAsia="仿宋" w:cs="Times New Roman"/>
                <w:w w:val="90"/>
                <w:kern w:val="0"/>
                <w:sz w:val="21"/>
                <w:szCs w:val="21"/>
                <w:lang w:eastAsia="en-US"/>
              </w:rPr>
              <w:t xml:space="preserve"> </w:t>
            </w:r>
            <w:r>
              <w:rPr>
                <w:rFonts w:ascii="Times New Roman" w:hAnsi="Times New Roman" w:eastAsia="仿宋" w:cs="Times New Roman"/>
                <w:spacing w:val="-1"/>
                <w:w w:val="90"/>
                <w:kern w:val="0"/>
                <w:sz w:val="21"/>
                <w:szCs w:val="21"/>
                <w:lang w:eastAsia="en-US"/>
              </w:rPr>
              <w:t>261-173-50</w:t>
            </w:r>
          </w:p>
        </w:tc>
        <w:tc>
          <w:tcPr>
            <w:tcW w:w="620"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14</w:t>
            </w:r>
            <w:r>
              <w:rPr>
                <w:rFonts w:ascii="Times New Roman" w:hAnsi="Times New Roman" w:eastAsia="仿宋" w:cs="Times New Roman"/>
                <w:spacing w:val="-35"/>
                <w:kern w:val="0"/>
                <w:sz w:val="21"/>
                <w:szCs w:val="21"/>
                <w:lang w:eastAsia="en-US"/>
              </w:rPr>
              <w:t xml:space="preserve"> </w:t>
            </w:r>
            <w:r>
              <w:rPr>
                <w:rFonts w:ascii="Times New Roman" w:hAnsi="Times New Roman" w:eastAsia="仿宋" w:cs="Times New Roman"/>
                <w:kern w:val="0"/>
                <w:sz w:val="21"/>
                <w:szCs w:val="21"/>
                <w:lang w:eastAsia="en-US"/>
              </w:rPr>
              <w:t>m</w:t>
            </w:r>
            <w:r>
              <w:rPr>
                <w:rFonts w:ascii="Times New Roman" w:hAnsi="Times New Roman" w:eastAsia="仿宋" w:cs="Times New Roman"/>
                <w:kern w:val="0"/>
                <w:position w:val="10"/>
                <w:sz w:val="21"/>
                <w:szCs w:val="21"/>
                <w:lang w:eastAsia="en-US"/>
              </w:rPr>
              <w:t>3</w:t>
            </w:r>
            <w:r>
              <w:rPr>
                <w:rFonts w:ascii="Times New Roman" w:hAnsi="Times New Roman" w:eastAsia="仿宋" w:cs="Times New Roman"/>
                <w:kern w:val="0"/>
                <w:sz w:val="21"/>
                <w:szCs w:val="21"/>
                <w:lang w:eastAsia="en-US"/>
              </w:rPr>
              <w:t>/5</w:t>
            </w:r>
            <w:r>
              <w:rPr>
                <w:rFonts w:ascii="Times New Roman" w:hAnsi="Times New Roman" w:eastAsia="仿宋" w:cs="Times New Roman"/>
                <w:spacing w:val="-34"/>
                <w:kern w:val="0"/>
                <w:sz w:val="21"/>
                <w:szCs w:val="21"/>
                <w:lang w:eastAsia="en-US"/>
              </w:rPr>
              <w:t xml:space="preserve"> </w:t>
            </w:r>
            <w:r>
              <w:rPr>
                <w:rFonts w:ascii="Times New Roman" w:hAnsi="Times New Roman" w:eastAsia="仿宋" w:cs="Times New Roman"/>
                <w:kern w:val="0"/>
                <w:sz w:val="21"/>
                <w:szCs w:val="21"/>
                <w:lang w:eastAsia="en-US"/>
              </w:rPr>
              <w:t>年</w:t>
            </w:r>
          </w:p>
        </w:tc>
        <w:tc>
          <w:tcPr>
            <w:tcW w:w="255"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p>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固</w:t>
            </w:r>
          </w:p>
        </w:tc>
        <w:tc>
          <w:tcPr>
            <w:tcW w:w="51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861" w:type="pct"/>
            <w:tcBorders>
              <w:top w:val="single" w:color="000000" w:sz="4" w:space="0"/>
              <w:left w:val="single" w:color="000000" w:sz="4" w:space="0"/>
              <w:bottom w:val="single" w:color="000000" w:sz="4" w:space="0"/>
              <w:right w:val="single" w:color="000000" w:sz="4" w:space="0"/>
            </w:tcBorders>
            <w:vAlign w:val="center"/>
          </w:tcPr>
          <w:p>
            <w:pPr>
              <w:spacing w:line="239" w:lineRule="exact"/>
              <w:jc w:val="center"/>
              <w:rPr>
                <w:rFonts w:ascii="Times New Roman" w:hAnsi="Times New Roman" w:eastAsia="仿宋" w:cs="Times New Roman"/>
                <w:kern w:val="0"/>
                <w:sz w:val="21"/>
                <w:szCs w:val="21"/>
                <w:lang w:eastAsia="zh-CN"/>
              </w:rPr>
            </w:pPr>
            <w:r>
              <w:rPr>
                <w:rFonts w:hint="eastAsia" w:ascii="Times New Roman" w:hAnsi="Times New Roman" w:eastAsia="仿宋" w:cs="Times New Roman"/>
                <w:kern w:val="0"/>
                <w:sz w:val="21"/>
                <w:szCs w:val="21"/>
                <w:lang w:eastAsia="zh-CN"/>
              </w:rPr>
              <w:t>委托江苏弘成环保科技有限公司进行处置</w:t>
            </w:r>
          </w:p>
        </w:tc>
        <w:tc>
          <w:tcPr>
            <w:tcW w:w="383" w:type="pct"/>
            <w:vMerge w:val="continue"/>
            <w:tcBorders>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zh-CN"/>
              </w:rPr>
            </w:pPr>
          </w:p>
        </w:tc>
        <w:tc>
          <w:tcPr>
            <w:tcW w:w="49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14m</w:t>
            </w:r>
            <w:r>
              <w:rPr>
                <w:rFonts w:ascii="Times New Roman" w:hAnsi="Times New Roman" w:eastAsia="仿宋" w:cs="Times New Roman"/>
                <w:kern w:val="0"/>
                <w:position w:val="10"/>
                <w:sz w:val="21"/>
                <w:szCs w:val="21"/>
                <w:lang w:eastAsia="en-US"/>
              </w:rPr>
              <w:t>3</w:t>
            </w:r>
          </w:p>
        </w:tc>
        <w:tc>
          <w:tcPr>
            <w:tcW w:w="615" w:type="pct"/>
            <w:tcBorders>
              <w:top w:val="single" w:color="000000" w:sz="4" w:space="0"/>
              <w:left w:val="single" w:color="000000" w:sz="4" w:space="0"/>
              <w:bottom w:val="single" w:color="000000" w:sz="4" w:space="0"/>
              <w:right w:val="single" w:color="000000" w:sz="12"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14</w:t>
            </w:r>
            <w:r>
              <w:rPr>
                <w:rFonts w:ascii="Times New Roman" w:hAnsi="Times New Roman" w:eastAsia="仿宋" w:cs="Times New Roman"/>
                <w:spacing w:val="-35"/>
                <w:kern w:val="0"/>
                <w:sz w:val="21"/>
                <w:szCs w:val="21"/>
                <w:lang w:eastAsia="en-US"/>
              </w:rPr>
              <w:t xml:space="preserve"> </w:t>
            </w:r>
            <w:r>
              <w:rPr>
                <w:rFonts w:ascii="Times New Roman" w:hAnsi="Times New Roman" w:eastAsia="仿宋" w:cs="Times New Roman"/>
                <w:kern w:val="0"/>
                <w:sz w:val="21"/>
                <w:szCs w:val="21"/>
                <w:lang w:eastAsia="en-US"/>
              </w:rPr>
              <w:t>m</w:t>
            </w:r>
            <w:r>
              <w:rPr>
                <w:rFonts w:ascii="Times New Roman" w:hAnsi="Times New Roman" w:eastAsia="仿宋" w:cs="Times New Roman"/>
                <w:kern w:val="0"/>
                <w:position w:val="10"/>
                <w:sz w:val="21"/>
                <w:szCs w:val="21"/>
                <w:lang w:eastAsia="en-US"/>
              </w:rPr>
              <w:t>3</w:t>
            </w:r>
            <w:r>
              <w:rPr>
                <w:rFonts w:ascii="Times New Roman" w:hAnsi="Times New Roman" w:eastAsia="仿宋" w:cs="Times New Roman"/>
                <w:kern w:val="0"/>
                <w:sz w:val="21"/>
                <w:szCs w:val="21"/>
                <w:lang w:eastAsia="en-US"/>
              </w:rPr>
              <w:t>/5</w:t>
            </w:r>
            <w:r>
              <w:rPr>
                <w:rFonts w:ascii="Times New Roman" w:hAnsi="Times New Roman" w:eastAsia="仿宋" w:cs="Times New Roman"/>
                <w:spacing w:val="-34"/>
                <w:kern w:val="0"/>
                <w:sz w:val="21"/>
                <w:szCs w:val="21"/>
                <w:lang w:eastAsia="en-US"/>
              </w:rPr>
              <w:t xml:space="preserve"> </w:t>
            </w:r>
            <w:r>
              <w:rPr>
                <w:rFonts w:ascii="Times New Roman" w:hAnsi="Times New Roman" w:eastAsia="仿宋" w:cs="Times New Roman"/>
                <w:kern w:val="0"/>
                <w:sz w:val="21"/>
                <w:szCs w:val="21"/>
                <w:lang w:eastAsia="en-US"/>
              </w:rPr>
              <w:t>年</w:t>
            </w:r>
          </w:p>
        </w:tc>
      </w:tr>
      <w:tr>
        <w:tblPrEx>
          <w:tblCellMar>
            <w:top w:w="0" w:type="dxa"/>
            <w:left w:w="0" w:type="dxa"/>
            <w:bottom w:w="0" w:type="dxa"/>
            <w:right w:w="0" w:type="dxa"/>
          </w:tblCellMar>
        </w:tblPrEx>
        <w:trPr>
          <w:trHeight w:val="862" w:hRule="exact"/>
        </w:trPr>
        <w:tc>
          <w:tcPr>
            <w:tcW w:w="672" w:type="pct"/>
            <w:tcBorders>
              <w:top w:val="single" w:color="000000" w:sz="4" w:space="0"/>
              <w:left w:val="single" w:color="000000" w:sz="12"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78%稀硫酸</w:t>
            </w:r>
          </w:p>
        </w:tc>
        <w:tc>
          <w:tcPr>
            <w:tcW w:w="591" w:type="pct"/>
            <w:tcBorders>
              <w:top w:val="single" w:color="000000" w:sz="4" w:space="0"/>
              <w:left w:val="single" w:color="000000" w:sz="4" w:space="0"/>
              <w:bottom w:val="single" w:color="000000" w:sz="4" w:space="0"/>
              <w:right w:val="single" w:color="000000" w:sz="4" w:space="0"/>
            </w:tcBorders>
            <w:vAlign w:val="center"/>
          </w:tcPr>
          <w:p>
            <w:pPr>
              <w:spacing w:line="182" w:lineRule="auto"/>
              <w:ind w:firstLine="208"/>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HW34</w:t>
            </w:r>
            <w:r>
              <w:rPr>
                <w:rFonts w:ascii="Times New Roman" w:hAnsi="Times New Roman" w:eastAsia="仿宋" w:cs="Times New Roman"/>
                <w:w w:val="90"/>
                <w:kern w:val="0"/>
                <w:sz w:val="21"/>
                <w:szCs w:val="21"/>
                <w:lang w:eastAsia="en-US"/>
              </w:rPr>
              <w:t xml:space="preserve"> </w:t>
            </w:r>
            <w:r>
              <w:rPr>
                <w:rFonts w:ascii="Times New Roman" w:hAnsi="Times New Roman" w:eastAsia="仿宋" w:cs="Times New Roman"/>
                <w:spacing w:val="-1"/>
                <w:w w:val="90"/>
                <w:kern w:val="0"/>
                <w:sz w:val="21"/>
                <w:szCs w:val="21"/>
                <w:lang w:eastAsia="en-US"/>
              </w:rPr>
              <w:t>261-057-34</w:t>
            </w:r>
          </w:p>
        </w:tc>
        <w:tc>
          <w:tcPr>
            <w:tcW w:w="620"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3087</w:t>
            </w:r>
          </w:p>
        </w:tc>
        <w:tc>
          <w:tcPr>
            <w:tcW w:w="255"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液</w:t>
            </w:r>
          </w:p>
        </w:tc>
        <w:tc>
          <w:tcPr>
            <w:tcW w:w="51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约</w:t>
            </w:r>
            <w:r>
              <w:rPr>
                <w:rFonts w:ascii="Times New Roman" w:hAnsi="Times New Roman" w:eastAsia="仿宋" w:cs="Times New Roman"/>
                <w:spacing w:val="-85"/>
                <w:kern w:val="0"/>
                <w:sz w:val="21"/>
                <w:szCs w:val="21"/>
                <w:lang w:eastAsia="en-US"/>
              </w:rPr>
              <w:t xml:space="preserve"> </w:t>
            </w:r>
            <w:r>
              <w:rPr>
                <w:rFonts w:ascii="Times New Roman" w:hAnsi="Times New Roman" w:eastAsia="仿宋" w:cs="Times New Roman"/>
                <w:kern w:val="0"/>
                <w:sz w:val="21"/>
                <w:szCs w:val="21"/>
                <w:lang w:eastAsia="en-US"/>
              </w:rPr>
              <w:t>20%</w:t>
            </w:r>
          </w:p>
        </w:tc>
        <w:tc>
          <w:tcPr>
            <w:tcW w:w="86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回用</w:t>
            </w:r>
          </w:p>
        </w:tc>
        <w:tc>
          <w:tcPr>
            <w:tcW w:w="38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储罐</w:t>
            </w:r>
          </w:p>
        </w:tc>
        <w:tc>
          <w:tcPr>
            <w:tcW w:w="492"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100</w:t>
            </w:r>
          </w:p>
        </w:tc>
        <w:tc>
          <w:tcPr>
            <w:tcW w:w="615" w:type="pct"/>
            <w:tcBorders>
              <w:top w:val="single" w:color="000000" w:sz="4" w:space="0"/>
              <w:left w:val="single" w:color="000000" w:sz="4" w:space="0"/>
              <w:bottom w:val="single" w:color="000000" w:sz="4" w:space="0"/>
              <w:right w:val="single" w:color="000000" w:sz="12"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3087</w:t>
            </w:r>
          </w:p>
        </w:tc>
      </w:tr>
      <w:tr>
        <w:tblPrEx>
          <w:tblCellMar>
            <w:top w:w="0" w:type="dxa"/>
            <w:left w:w="0" w:type="dxa"/>
            <w:bottom w:w="0" w:type="dxa"/>
            <w:right w:w="0" w:type="dxa"/>
          </w:tblCellMar>
        </w:tblPrEx>
        <w:trPr>
          <w:trHeight w:val="729" w:hRule="exact"/>
        </w:trPr>
        <w:tc>
          <w:tcPr>
            <w:tcW w:w="672" w:type="pct"/>
            <w:tcBorders>
              <w:top w:val="single" w:color="000000" w:sz="4" w:space="0"/>
              <w:left w:val="single" w:color="000000" w:sz="12" w:space="0"/>
              <w:bottom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zh-CN"/>
              </w:rPr>
              <w:t>生活垃圾</w:t>
            </w:r>
          </w:p>
        </w:tc>
        <w:tc>
          <w:tcPr>
            <w:tcW w:w="591" w:type="pct"/>
            <w:tcBorders>
              <w:top w:val="single" w:color="000000" w:sz="4" w:space="0"/>
              <w:left w:val="single" w:color="000000" w:sz="4" w:space="0"/>
              <w:bottom w:val="single" w:color="000000" w:sz="12" w:space="0"/>
              <w:right w:val="single" w:color="000000" w:sz="4" w:space="0"/>
            </w:tcBorders>
            <w:vAlign w:val="center"/>
          </w:tcPr>
          <w:p>
            <w:pPr>
              <w:spacing w:line="182" w:lineRule="auto"/>
              <w:ind w:firstLine="208"/>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zh-CN"/>
              </w:rPr>
              <w:t>无</w:t>
            </w:r>
          </w:p>
        </w:tc>
        <w:tc>
          <w:tcPr>
            <w:tcW w:w="620" w:type="pct"/>
            <w:tcBorders>
              <w:top w:val="single" w:color="000000" w:sz="4" w:space="0"/>
              <w:left w:val="single" w:color="000000" w:sz="4" w:space="0"/>
              <w:bottom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20</w:t>
            </w:r>
          </w:p>
        </w:tc>
        <w:tc>
          <w:tcPr>
            <w:tcW w:w="255" w:type="pct"/>
            <w:tcBorders>
              <w:top w:val="single" w:color="000000" w:sz="4" w:space="0"/>
              <w:left w:val="single" w:color="000000" w:sz="4" w:space="0"/>
              <w:bottom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zh-CN"/>
              </w:rPr>
              <w:t>固</w:t>
            </w:r>
          </w:p>
        </w:tc>
        <w:tc>
          <w:tcPr>
            <w:tcW w:w="512" w:type="pct"/>
            <w:tcBorders>
              <w:top w:val="single" w:color="000000" w:sz="4" w:space="0"/>
              <w:left w:val="single" w:color="000000" w:sz="4" w:space="0"/>
              <w:bottom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861" w:type="pct"/>
            <w:tcBorders>
              <w:top w:val="single" w:color="000000" w:sz="4" w:space="0"/>
              <w:left w:val="single" w:color="000000" w:sz="4" w:space="0"/>
              <w:bottom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金港镇德积环卫所</w:t>
            </w:r>
          </w:p>
        </w:tc>
        <w:tc>
          <w:tcPr>
            <w:tcW w:w="383" w:type="pct"/>
            <w:tcBorders>
              <w:top w:val="single" w:color="000000" w:sz="4" w:space="0"/>
              <w:left w:val="single" w:color="000000" w:sz="4" w:space="0"/>
              <w:bottom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zh-CN"/>
              </w:rPr>
              <w:t>垃圾桶</w:t>
            </w:r>
          </w:p>
        </w:tc>
        <w:tc>
          <w:tcPr>
            <w:tcW w:w="492" w:type="pct"/>
            <w:tcBorders>
              <w:top w:val="single" w:color="000000" w:sz="4" w:space="0"/>
              <w:left w:val="single" w:color="000000" w:sz="4" w:space="0"/>
              <w:bottom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c>
          <w:tcPr>
            <w:tcW w:w="615" w:type="pct"/>
            <w:tcBorders>
              <w:top w:val="single" w:color="000000" w:sz="4" w:space="0"/>
              <w:left w:val="single" w:color="000000" w:sz="4" w:space="0"/>
              <w:bottom w:val="single" w:color="000000" w:sz="12" w:space="0"/>
              <w:right w:val="single" w:color="000000" w:sz="12"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w:t>
            </w:r>
          </w:p>
        </w:tc>
      </w:tr>
    </w:tbl>
    <w:p>
      <w:pPr>
        <w:pStyle w:val="57"/>
        <w:adjustRightInd/>
        <w:spacing w:before="163" w:beforeLines="50" w:line="360" w:lineRule="auto"/>
        <w:ind w:firstLine="480" w:firstLineChars="200"/>
        <w:jc w:val="both"/>
        <w:rPr>
          <w:rFonts w:hint="default" w:ascii="Times New Roman" w:hAnsi="Times New Roman" w:eastAsia="仿宋"/>
          <w:bCs/>
        </w:rPr>
      </w:pPr>
      <w:r>
        <w:rPr>
          <w:rFonts w:hint="default" w:ascii="Times New Roman" w:hAnsi="Times New Roman" w:eastAsia="仿宋"/>
          <w:bCs/>
        </w:rPr>
        <w:t>综上所述，企业所有一般工业固废和危废均妥善合法处理处置，其处置方式可行。</w:t>
      </w:r>
    </w:p>
    <w:p>
      <w:pPr>
        <w:pStyle w:val="57"/>
        <w:adjustRightInd/>
        <w:spacing w:line="360" w:lineRule="auto"/>
        <w:ind w:firstLine="480" w:firstLineChars="200"/>
        <w:jc w:val="both"/>
        <w:rPr>
          <w:rFonts w:hint="default" w:ascii="Times New Roman" w:hAnsi="Times New Roman" w:eastAsia="仿宋"/>
          <w:bCs/>
        </w:rPr>
      </w:pPr>
      <w:r>
        <w:rPr>
          <w:rFonts w:hint="default" w:ascii="Times New Roman" w:hAnsi="Times New Roman" w:eastAsia="仿宋"/>
          <w:bCs/>
        </w:rPr>
        <w:t>双狮公司危险废物中的78%硫酸，采用储罐储存，设置环境保护图形标志和警示标志；需要委外处置的危险废物贮存在危废暂存仓库，并清楚标明废物类别、数量、危险特性等，定期委托有资质的单位处理。</w:t>
      </w:r>
    </w:p>
    <w:p>
      <w:pPr>
        <w:pStyle w:val="57"/>
        <w:adjustRightInd/>
        <w:spacing w:line="360" w:lineRule="auto"/>
        <w:ind w:firstLine="480" w:firstLineChars="200"/>
        <w:jc w:val="both"/>
        <w:rPr>
          <w:rFonts w:hint="default" w:ascii="Times New Roman" w:hAnsi="Times New Roman" w:eastAsia="仿宋"/>
          <w:bCs/>
        </w:rPr>
      </w:pPr>
      <w:r>
        <w:rPr>
          <w:rFonts w:hint="default" w:ascii="Times New Roman" w:hAnsi="Times New Roman" w:eastAsia="仿宋"/>
          <w:bCs/>
        </w:rPr>
        <w:t>企业固废暂存场所严格按照《危险废物贮存污染控制标准 》（GB18597-2001）以及《一般工业固体废物贮存、处置场污染控制标准》（GB18599-2001）的要求规范建设和维护使用。做好该</w:t>
      </w:r>
      <w:r>
        <w:rPr>
          <w:rFonts w:ascii="Times New Roman" w:hAnsi="Times New Roman" w:eastAsia="仿宋"/>
          <w:bCs/>
        </w:rPr>
        <w:t>暂存区</w:t>
      </w:r>
      <w:r>
        <w:rPr>
          <w:rFonts w:hint="default" w:ascii="Times New Roman" w:hAnsi="Times New Roman" w:eastAsia="仿宋"/>
          <w:bCs/>
        </w:rPr>
        <w:t>防雨、防风、防渗、防漏等措施，并制定好厂内固体废物特别是危险废物转移运输中的污染防范及事故应急措施。</w:t>
      </w:r>
    </w:p>
    <w:p>
      <w:pPr>
        <w:spacing w:line="360" w:lineRule="auto"/>
        <w:ind w:firstLine="420" w:firstLineChars="200"/>
        <w:rPr>
          <w:rFonts w:eastAsia="仿宋_GB2312" w:cs="Times New Roman"/>
        </w:rPr>
      </w:pPr>
      <w:r>
        <w:rPr>
          <w:rFonts w:hint="eastAsia" w:eastAsia="仿宋_GB2312" w:cs="Times New Roman"/>
        </w:rPr>
        <w:t>公司三废排放汇总情况见表2-</w:t>
      </w:r>
      <w:r>
        <w:rPr>
          <w:rFonts w:hint="eastAsia" w:eastAsia="仿宋_GB2312" w:cs="Times New Roman"/>
          <w:lang w:val="en-US" w:eastAsia="zh-CN"/>
        </w:rPr>
        <w:t>8</w:t>
      </w:r>
      <w:r>
        <w:rPr>
          <w:rFonts w:hint="eastAsia" w:eastAsia="仿宋_GB2312" w:cs="Times New Roman"/>
        </w:rPr>
        <w:t>。</w:t>
      </w:r>
    </w:p>
    <w:p>
      <w:pPr>
        <w:pStyle w:val="57"/>
        <w:adjustRightInd/>
        <w:spacing w:before="163" w:beforeLines="50"/>
        <w:jc w:val="center"/>
        <w:rPr>
          <w:rFonts w:hint="default" w:ascii="Times New Roman" w:hAnsi="Times New Roman" w:eastAsia="仿宋"/>
          <w:b/>
          <w:bCs/>
          <w:sz w:val="21"/>
          <w:szCs w:val="21"/>
        </w:rPr>
      </w:pPr>
      <w:r>
        <w:rPr>
          <w:rFonts w:ascii="Times New Roman" w:hAnsi="Times New Roman" w:eastAsia="仿宋"/>
          <w:b/>
          <w:bCs/>
          <w:sz w:val="21"/>
          <w:szCs w:val="21"/>
        </w:rPr>
        <w:t>表2-</w:t>
      </w:r>
      <w:r>
        <w:rPr>
          <w:rFonts w:hint="eastAsia" w:ascii="Times New Roman" w:hAnsi="Times New Roman" w:eastAsia="仿宋"/>
          <w:b/>
          <w:bCs/>
          <w:sz w:val="21"/>
          <w:szCs w:val="21"/>
          <w:lang w:val="en-US" w:eastAsia="zh-CN"/>
        </w:rPr>
        <w:t>8</w:t>
      </w:r>
      <w:r>
        <w:rPr>
          <w:rFonts w:ascii="Times New Roman" w:hAnsi="Times New Roman" w:eastAsia="仿宋"/>
          <w:b/>
          <w:bCs/>
          <w:sz w:val="21"/>
          <w:szCs w:val="21"/>
        </w:rPr>
        <w:t xml:space="preserve"> 污染物排放量汇总</w:t>
      </w:r>
    </w:p>
    <w:tbl>
      <w:tblPr>
        <w:tblStyle w:val="228"/>
        <w:tblW w:w="5000" w:type="pct"/>
        <w:tblInd w:w="0" w:type="dxa"/>
        <w:tblLayout w:type="autofit"/>
        <w:tblCellMar>
          <w:top w:w="0" w:type="dxa"/>
          <w:left w:w="0" w:type="dxa"/>
          <w:bottom w:w="0" w:type="dxa"/>
          <w:right w:w="0" w:type="dxa"/>
        </w:tblCellMar>
      </w:tblPr>
      <w:tblGrid>
        <w:gridCol w:w="2169"/>
        <w:gridCol w:w="903"/>
        <w:gridCol w:w="1764"/>
        <w:gridCol w:w="2460"/>
        <w:gridCol w:w="2474"/>
      </w:tblGrid>
      <w:tr>
        <w:tblPrEx>
          <w:tblCellMar>
            <w:top w:w="0" w:type="dxa"/>
            <w:left w:w="0" w:type="dxa"/>
            <w:bottom w:w="0" w:type="dxa"/>
            <w:right w:w="0" w:type="dxa"/>
          </w:tblCellMar>
        </w:tblPrEx>
        <w:trPr>
          <w:trHeight w:val="463" w:hRule="exact"/>
          <w:tblHeader/>
        </w:trPr>
        <w:tc>
          <w:tcPr>
            <w:tcW w:w="1110" w:type="pct"/>
            <w:tcBorders>
              <w:top w:val="single" w:color="000000" w:sz="12" w:space="0"/>
              <w:left w:val="single" w:color="000000" w:sz="12" w:space="0"/>
              <w:bottom w:val="single" w:color="000000" w:sz="12" w:space="0"/>
              <w:right w:val="single" w:color="000000" w:sz="4" w:space="0"/>
            </w:tcBorders>
            <w:vAlign w:val="center"/>
          </w:tcPr>
          <w:p>
            <w:pPr>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类别</w:t>
            </w:r>
          </w:p>
        </w:tc>
        <w:tc>
          <w:tcPr>
            <w:tcW w:w="1365" w:type="pct"/>
            <w:gridSpan w:val="2"/>
            <w:tcBorders>
              <w:top w:val="single" w:color="000000" w:sz="12" w:space="0"/>
              <w:left w:val="single" w:color="000000" w:sz="4" w:space="0"/>
              <w:bottom w:val="single" w:color="000000" w:sz="12" w:space="0"/>
              <w:right w:val="single" w:color="000000" w:sz="4" w:space="0"/>
            </w:tcBorders>
            <w:vAlign w:val="center"/>
          </w:tcPr>
          <w:p>
            <w:pPr>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污染物名称</w:t>
            </w:r>
          </w:p>
        </w:tc>
        <w:tc>
          <w:tcPr>
            <w:tcW w:w="2525" w:type="pct"/>
            <w:gridSpan w:val="2"/>
            <w:tcBorders>
              <w:top w:val="single" w:color="000000" w:sz="12" w:space="0"/>
              <w:left w:val="single" w:color="000000" w:sz="4" w:space="0"/>
              <w:bottom w:val="single" w:color="000000" w:sz="12" w:space="0"/>
              <w:right w:val="single" w:color="000000" w:sz="12" w:space="0"/>
            </w:tcBorders>
            <w:vAlign w:val="center"/>
          </w:tcPr>
          <w:p>
            <w:pPr>
              <w:spacing w:line="307" w:lineRule="exact"/>
              <w:jc w:val="center"/>
              <w:rPr>
                <w:rFonts w:ascii="Times New Roman" w:hAnsi="Times New Roman" w:eastAsia="仿宋" w:cs="Times New Roman"/>
                <w:b/>
                <w:kern w:val="0"/>
                <w:sz w:val="21"/>
                <w:szCs w:val="21"/>
                <w:lang w:eastAsia="en-US"/>
              </w:rPr>
            </w:pPr>
            <w:r>
              <w:rPr>
                <w:rFonts w:ascii="Times New Roman" w:hAnsi="Times New Roman" w:eastAsia="仿宋" w:cs="Times New Roman"/>
                <w:b/>
                <w:kern w:val="0"/>
                <w:sz w:val="21"/>
                <w:szCs w:val="21"/>
                <w:lang w:eastAsia="en-US"/>
              </w:rPr>
              <w:t>全厂排放量</w:t>
            </w:r>
            <w:r>
              <w:rPr>
                <w:rFonts w:ascii="Times New Roman" w:hAnsi="Times New Roman" w:eastAsia="仿宋" w:cs="Times New Roman"/>
                <w:b/>
                <w:spacing w:val="-80"/>
                <w:kern w:val="0"/>
                <w:sz w:val="21"/>
                <w:szCs w:val="21"/>
                <w:lang w:eastAsia="en-US"/>
              </w:rPr>
              <w:t xml:space="preserve"> </w:t>
            </w:r>
            <w:r>
              <w:rPr>
                <w:rFonts w:ascii="Times New Roman" w:hAnsi="Times New Roman" w:eastAsia="仿宋" w:cs="Times New Roman"/>
                <w:b/>
                <w:kern w:val="0"/>
                <w:sz w:val="21"/>
                <w:szCs w:val="21"/>
                <w:lang w:eastAsia="en-US"/>
              </w:rPr>
              <w:t>t/a</w:t>
            </w:r>
          </w:p>
        </w:tc>
      </w:tr>
      <w:tr>
        <w:tblPrEx>
          <w:tblCellMar>
            <w:top w:w="0" w:type="dxa"/>
            <w:left w:w="0" w:type="dxa"/>
            <w:bottom w:w="0" w:type="dxa"/>
            <w:right w:w="0" w:type="dxa"/>
          </w:tblCellMar>
        </w:tblPrEx>
        <w:trPr>
          <w:trHeight w:val="362" w:hRule="exact"/>
        </w:trPr>
        <w:tc>
          <w:tcPr>
            <w:tcW w:w="1110" w:type="pct"/>
            <w:vMerge w:val="restart"/>
            <w:tcBorders>
              <w:top w:val="single" w:color="000000" w:sz="12" w:space="0"/>
              <w:left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水污染物指标</w:t>
            </w:r>
          </w:p>
        </w:tc>
        <w:tc>
          <w:tcPr>
            <w:tcW w:w="462" w:type="pct"/>
            <w:vMerge w:val="restart"/>
            <w:tcBorders>
              <w:top w:val="single" w:color="000000" w:sz="12" w:space="0"/>
              <w:left w:val="single" w:color="000000" w:sz="4" w:space="0"/>
              <w:right w:val="single" w:color="000000" w:sz="4" w:space="0"/>
            </w:tcBorders>
            <w:vAlign w:val="center"/>
          </w:tcPr>
          <w:p>
            <w:pPr>
              <w:spacing w:line="27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生活</w:t>
            </w:r>
            <w:r>
              <w:rPr>
                <w:rFonts w:ascii="Times New Roman" w:hAnsi="Times New Roman" w:eastAsia="仿宋" w:cs="Times New Roman"/>
                <w:spacing w:val="-103"/>
                <w:kern w:val="0"/>
                <w:sz w:val="21"/>
                <w:szCs w:val="21"/>
                <w:lang w:eastAsia="en-US"/>
              </w:rPr>
              <w:t xml:space="preserve"> </w:t>
            </w:r>
            <w:r>
              <w:rPr>
                <w:rFonts w:ascii="Times New Roman" w:hAnsi="Times New Roman" w:eastAsia="仿宋" w:cs="Times New Roman"/>
                <w:kern w:val="0"/>
                <w:sz w:val="21"/>
                <w:szCs w:val="21"/>
                <w:lang w:eastAsia="en-US"/>
              </w:rPr>
              <w:t>污水</w:t>
            </w:r>
          </w:p>
        </w:tc>
        <w:tc>
          <w:tcPr>
            <w:tcW w:w="903" w:type="pct"/>
            <w:vMerge w:val="restart"/>
            <w:tcBorders>
              <w:top w:val="single" w:color="000000" w:sz="12" w:space="0"/>
              <w:left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废水量</w:t>
            </w:r>
          </w:p>
        </w:tc>
        <w:tc>
          <w:tcPr>
            <w:tcW w:w="1259" w:type="pct"/>
            <w:tcBorders>
              <w:top w:val="single" w:color="000000" w:sz="12" w:space="0"/>
              <w:left w:val="single" w:color="000000" w:sz="4" w:space="0"/>
              <w:bottom w:val="single" w:color="000000" w:sz="6"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接管量</w:t>
            </w:r>
          </w:p>
        </w:tc>
        <w:tc>
          <w:tcPr>
            <w:tcW w:w="1266" w:type="pct"/>
            <w:tcBorders>
              <w:top w:val="single" w:color="000000" w:sz="12" w:space="0"/>
              <w:left w:val="single" w:color="000000" w:sz="4" w:space="0"/>
              <w:bottom w:val="single" w:color="000000" w:sz="6" w:space="0"/>
              <w:right w:val="single" w:color="000000" w:sz="12"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外排量</w:t>
            </w:r>
          </w:p>
        </w:tc>
      </w:tr>
      <w:tr>
        <w:tblPrEx>
          <w:tblCellMar>
            <w:top w:w="0" w:type="dxa"/>
            <w:left w:w="0" w:type="dxa"/>
            <w:bottom w:w="0" w:type="dxa"/>
            <w:right w:w="0" w:type="dxa"/>
          </w:tblCellMar>
        </w:tblPrEx>
        <w:trPr>
          <w:trHeight w:val="353" w:hRule="exact"/>
        </w:trPr>
        <w:tc>
          <w:tcPr>
            <w:tcW w:w="1110" w:type="pct"/>
            <w:vMerge w:val="continue"/>
            <w:tcBorders>
              <w:left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462" w:type="pct"/>
            <w:vMerge w:val="continue"/>
            <w:tcBorders>
              <w:left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903" w:type="pct"/>
            <w:vMerge w:val="continue"/>
            <w:tcBorders>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1259" w:type="pct"/>
            <w:tcBorders>
              <w:top w:val="single" w:color="000000" w:sz="6" w:space="0"/>
              <w:left w:val="single" w:color="000000" w:sz="4" w:space="0"/>
              <w:bottom w:val="single" w:color="000000" w:sz="4" w:space="0"/>
              <w:right w:val="single" w:color="000000" w:sz="4" w:space="0"/>
            </w:tcBorders>
            <w:vAlign w:val="center"/>
          </w:tcPr>
          <w:p>
            <w:pPr>
              <w:spacing w:line="304"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11588</w:t>
            </w:r>
          </w:p>
        </w:tc>
        <w:tc>
          <w:tcPr>
            <w:tcW w:w="1266" w:type="pct"/>
            <w:tcBorders>
              <w:top w:val="single" w:color="000000" w:sz="6" w:space="0"/>
              <w:left w:val="single" w:color="000000" w:sz="4" w:space="0"/>
              <w:bottom w:val="single" w:color="000000" w:sz="4" w:space="0"/>
              <w:right w:val="single" w:color="000000" w:sz="12" w:space="0"/>
            </w:tcBorders>
            <w:vAlign w:val="center"/>
          </w:tcPr>
          <w:p>
            <w:pPr>
              <w:spacing w:line="304"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11588</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462" w:type="pct"/>
            <w:vMerge w:val="continue"/>
            <w:tcBorders>
              <w:left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97"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COD</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4"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4.635</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297"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0.927</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462" w:type="pct"/>
            <w:vMerge w:val="continue"/>
            <w:tcBorders>
              <w:left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97"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w w:val="95"/>
                <w:kern w:val="0"/>
                <w:sz w:val="21"/>
                <w:szCs w:val="21"/>
                <w:lang w:eastAsia="en-US"/>
              </w:rPr>
              <w:t>SS</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0.29</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297"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1.124</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462" w:type="pct"/>
            <w:vMerge w:val="continue"/>
            <w:tcBorders>
              <w:left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74"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氨氮</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2.897</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297"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0.811</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462" w:type="pct"/>
            <w:vMerge w:val="continue"/>
            <w:tcBorders>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97"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TP</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0.0542</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297"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0.112</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462" w:type="pct"/>
            <w:vMerge w:val="restart"/>
            <w:tcBorders>
              <w:top w:val="single" w:color="000000" w:sz="4" w:space="0"/>
              <w:left w:val="single" w:color="000000" w:sz="4" w:space="0"/>
              <w:right w:val="single" w:color="000000" w:sz="4" w:space="0"/>
            </w:tcBorders>
            <w:vAlign w:val="center"/>
          </w:tcPr>
          <w:p>
            <w:pPr>
              <w:spacing w:line="27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工业</w:t>
            </w:r>
            <w:r>
              <w:rPr>
                <w:rFonts w:ascii="Times New Roman" w:hAnsi="Times New Roman" w:eastAsia="仿宋" w:cs="Times New Roman"/>
                <w:spacing w:val="-103"/>
                <w:kern w:val="0"/>
                <w:sz w:val="21"/>
                <w:szCs w:val="21"/>
                <w:lang w:eastAsia="en-US"/>
              </w:rPr>
              <w:t xml:space="preserve"> </w:t>
            </w:r>
            <w:r>
              <w:rPr>
                <w:rFonts w:ascii="Times New Roman" w:hAnsi="Times New Roman" w:eastAsia="仿宋" w:cs="Times New Roman"/>
                <w:kern w:val="0"/>
                <w:sz w:val="21"/>
                <w:szCs w:val="21"/>
                <w:lang w:eastAsia="en-US"/>
              </w:rPr>
              <w:t>废水</w:t>
            </w: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74"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废水量</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213244</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30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213244</w:t>
            </w:r>
          </w:p>
        </w:tc>
      </w:tr>
      <w:tr>
        <w:tblPrEx>
          <w:tblCellMar>
            <w:top w:w="0" w:type="dxa"/>
            <w:left w:w="0" w:type="dxa"/>
            <w:bottom w:w="0" w:type="dxa"/>
            <w:right w:w="0" w:type="dxa"/>
          </w:tblCellMar>
        </w:tblPrEx>
        <w:trPr>
          <w:trHeight w:val="348" w:hRule="exact"/>
        </w:trPr>
        <w:tc>
          <w:tcPr>
            <w:tcW w:w="1110" w:type="pct"/>
            <w:vMerge w:val="continue"/>
            <w:tcBorders>
              <w:left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462" w:type="pct"/>
            <w:vMerge w:val="continue"/>
            <w:tcBorders>
              <w:left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95"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COD</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15.723</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295"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10.313</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462" w:type="pct"/>
            <w:vMerge w:val="continue"/>
            <w:tcBorders>
              <w:left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97"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w w:val="95"/>
                <w:kern w:val="0"/>
                <w:sz w:val="21"/>
                <w:szCs w:val="21"/>
                <w:lang w:eastAsia="en-US"/>
              </w:rPr>
              <w:t>SS</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4"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22.973</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297"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1.437</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462" w:type="pct"/>
            <w:vMerge w:val="continue"/>
            <w:tcBorders>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903" w:type="pct"/>
            <w:tcBorders>
              <w:top w:val="single" w:color="000000" w:sz="4" w:space="0"/>
              <w:left w:val="single" w:color="000000" w:sz="4" w:space="0"/>
              <w:bottom w:val="single" w:color="000000" w:sz="4" w:space="0"/>
              <w:right w:val="single" w:color="000000" w:sz="4" w:space="0"/>
            </w:tcBorders>
            <w:vAlign w:val="center"/>
          </w:tcPr>
          <w:p>
            <w:pPr>
              <w:spacing w:line="274"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活性氯</w:t>
            </w:r>
          </w:p>
        </w:tc>
        <w:tc>
          <w:tcPr>
            <w:tcW w:w="1259" w:type="pct"/>
            <w:tcBorders>
              <w:top w:val="single" w:color="000000" w:sz="4" w:space="0"/>
              <w:left w:val="single" w:color="000000" w:sz="4" w:space="0"/>
              <w:bottom w:val="single" w:color="000000" w:sz="4" w:space="0"/>
              <w:right w:val="single" w:color="000000" w:sz="4" w:space="0"/>
            </w:tcBorders>
            <w:vAlign w:val="center"/>
          </w:tcPr>
          <w:p>
            <w:pPr>
              <w:spacing w:line="30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0.03</w:t>
            </w:r>
          </w:p>
        </w:tc>
        <w:tc>
          <w:tcPr>
            <w:tcW w:w="1266" w:type="pct"/>
            <w:tcBorders>
              <w:top w:val="single" w:color="000000" w:sz="4" w:space="0"/>
              <w:left w:val="single" w:color="000000" w:sz="4" w:space="0"/>
              <w:bottom w:val="single" w:color="000000" w:sz="4" w:space="0"/>
              <w:right w:val="single" w:color="000000" w:sz="12" w:space="0"/>
            </w:tcBorders>
            <w:vAlign w:val="center"/>
          </w:tcPr>
          <w:p>
            <w:pPr>
              <w:spacing w:line="30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0.03</w:t>
            </w:r>
          </w:p>
        </w:tc>
      </w:tr>
      <w:tr>
        <w:tblPrEx>
          <w:tblCellMar>
            <w:top w:w="0" w:type="dxa"/>
            <w:left w:w="0" w:type="dxa"/>
            <w:bottom w:w="0" w:type="dxa"/>
            <w:right w:w="0" w:type="dxa"/>
          </w:tblCellMar>
        </w:tblPrEx>
        <w:trPr>
          <w:trHeight w:val="350" w:hRule="exact"/>
        </w:trPr>
        <w:tc>
          <w:tcPr>
            <w:tcW w:w="1110" w:type="pct"/>
            <w:vMerge w:val="restart"/>
            <w:tcBorders>
              <w:top w:val="single" w:color="000000" w:sz="4" w:space="0"/>
              <w:left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大气污染物指标</w:t>
            </w:r>
          </w:p>
        </w:tc>
        <w:tc>
          <w:tcPr>
            <w:tcW w:w="1365" w:type="pct"/>
            <w:gridSpan w:val="2"/>
            <w:tcBorders>
              <w:top w:val="single" w:color="000000" w:sz="4" w:space="0"/>
              <w:left w:val="single" w:color="000000" w:sz="4" w:space="0"/>
              <w:bottom w:val="single" w:color="000000" w:sz="4" w:space="0"/>
              <w:right w:val="single" w:color="000000" w:sz="4" w:space="0"/>
            </w:tcBorders>
            <w:vAlign w:val="center"/>
          </w:tcPr>
          <w:p>
            <w:pPr>
              <w:spacing w:line="308"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SO</w:t>
            </w:r>
            <w:r>
              <w:rPr>
                <w:rFonts w:ascii="Times New Roman" w:hAnsi="Times New Roman" w:eastAsia="仿宋" w:cs="Times New Roman"/>
                <w:kern w:val="0"/>
                <w:position w:val="-2"/>
                <w:sz w:val="21"/>
                <w:szCs w:val="21"/>
                <w:lang w:eastAsia="en-US"/>
              </w:rPr>
              <w:t>2</w:t>
            </w:r>
          </w:p>
        </w:tc>
        <w:tc>
          <w:tcPr>
            <w:tcW w:w="2525" w:type="pct"/>
            <w:gridSpan w:val="2"/>
            <w:tcBorders>
              <w:top w:val="single" w:color="000000" w:sz="4" w:space="0"/>
              <w:left w:val="single" w:color="000000" w:sz="4" w:space="0"/>
              <w:bottom w:val="single" w:color="000000" w:sz="4" w:space="0"/>
              <w:right w:val="single" w:color="000000" w:sz="12" w:space="0"/>
            </w:tcBorders>
            <w:vAlign w:val="center"/>
          </w:tcPr>
          <w:p>
            <w:pPr>
              <w:spacing w:line="30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647.84</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1365" w:type="pct"/>
            <w:gridSpan w:val="2"/>
            <w:tcBorders>
              <w:top w:val="single" w:color="000000" w:sz="4" w:space="0"/>
              <w:left w:val="single" w:color="000000" w:sz="4" w:space="0"/>
              <w:bottom w:val="single" w:color="000000" w:sz="4" w:space="0"/>
              <w:right w:val="single" w:color="000000" w:sz="4" w:space="0"/>
            </w:tcBorders>
            <w:vAlign w:val="center"/>
          </w:tcPr>
          <w:p>
            <w:pPr>
              <w:spacing w:line="274"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硫酸雾</w:t>
            </w:r>
          </w:p>
        </w:tc>
        <w:tc>
          <w:tcPr>
            <w:tcW w:w="2525" w:type="pct"/>
            <w:gridSpan w:val="2"/>
            <w:tcBorders>
              <w:top w:val="single" w:color="000000" w:sz="4" w:space="0"/>
              <w:left w:val="single" w:color="000000" w:sz="4" w:space="0"/>
              <w:bottom w:val="single" w:color="000000" w:sz="4" w:space="0"/>
              <w:right w:val="single" w:color="000000" w:sz="12" w:space="0"/>
            </w:tcBorders>
            <w:vAlign w:val="center"/>
          </w:tcPr>
          <w:p>
            <w:pPr>
              <w:spacing w:line="30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118.16</w:t>
            </w:r>
          </w:p>
        </w:tc>
      </w:tr>
      <w:tr>
        <w:tblPrEx>
          <w:tblCellMar>
            <w:top w:w="0" w:type="dxa"/>
            <w:left w:w="0" w:type="dxa"/>
            <w:bottom w:w="0" w:type="dxa"/>
            <w:right w:w="0" w:type="dxa"/>
          </w:tblCellMar>
        </w:tblPrEx>
        <w:trPr>
          <w:trHeight w:val="350" w:hRule="exact"/>
        </w:trPr>
        <w:tc>
          <w:tcPr>
            <w:tcW w:w="1110" w:type="pct"/>
            <w:vMerge w:val="continue"/>
            <w:tcBorders>
              <w:left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1365" w:type="pct"/>
            <w:gridSpan w:val="2"/>
            <w:tcBorders>
              <w:top w:val="single" w:color="000000" w:sz="4" w:space="0"/>
              <w:left w:val="single" w:color="000000" w:sz="4" w:space="0"/>
              <w:bottom w:val="single" w:color="000000" w:sz="4" w:space="0"/>
              <w:right w:val="single" w:color="000000" w:sz="4" w:space="0"/>
            </w:tcBorders>
            <w:vAlign w:val="center"/>
          </w:tcPr>
          <w:p>
            <w:pPr>
              <w:spacing w:line="306"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w w:val="105"/>
                <w:kern w:val="0"/>
                <w:sz w:val="21"/>
                <w:szCs w:val="21"/>
                <w:lang w:eastAsia="en-US"/>
              </w:rPr>
              <w:t>Cl</w:t>
            </w:r>
            <w:r>
              <w:rPr>
                <w:rFonts w:ascii="Times New Roman" w:hAnsi="Times New Roman" w:eastAsia="仿宋" w:cs="Times New Roman"/>
                <w:w w:val="105"/>
                <w:kern w:val="0"/>
                <w:position w:val="-2"/>
                <w:sz w:val="21"/>
                <w:szCs w:val="21"/>
                <w:lang w:eastAsia="en-US"/>
              </w:rPr>
              <w:t>2</w:t>
            </w:r>
          </w:p>
        </w:tc>
        <w:tc>
          <w:tcPr>
            <w:tcW w:w="2525" w:type="pct"/>
            <w:gridSpan w:val="2"/>
            <w:tcBorders>
              <w:top w:val="single" w:color="000000" w:sz="4" w:space="0"/>
              <w:left w:val="single" w:color="000000" w:sz="4" w:space="0"/>
              <w:bottom w:val="single" w:color="000000" w:sz="4" w:space="0"/>
              <w:right w:val="single" w:color="000000" w:sz="12" w:space="0"/>
            </w:tcBorders>
            <w:vAlign w:val="center"/>
          </w:tcPr>
          <w:p>
            <w:pPr>
              <w:spacing w:line="30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1.7</w:t>
            </w:r>
          </w:p>
        </w:tc>
      </w:tr>
      <w:tr>
        <w:tblPrEx>
          <w:tblCellMar>
            <w:top w:w="0" w:type="dxa"/>
            <w:left w:w="0" w:type="dxa"/>
            <w:bottom w:w="0" w:type="dxa"/>
            <w:right w:w="0" w:type="dxa"/>
          </w:tblCellMar>
        </w:tblPrEx>
        <w:trPr>
          <w:trHeight w:val="348" w:hRule="exact"/>
        </w:trPr>
        <w:tc>
          <w:tcPr>
            <w:tcW w:w="1110" w:type="pct"/>
            <w:vMerge w:val="continue"/>
            <w:tcBorders>
              <w:left w:val="single" w:color="000000" w:sz="12"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1365" w:type="pct"/>
            <w:gridSpan w:val="2"/>
            <w:tcBorders>
              <w:top w:val="single" w:color="000000" w:sz="4" w:space="0"/>
              <w:left w:val="single" w:color="000000" w:sz="4" w:space="0"/>
              <w:bottom w:val="single" w:color="000000" w:sz="4" w:space="0"/>
              <w:right w:val="single" w:color="000000" w:sz="4" w:space="0"/>
            </w:tcBorders>
            <w:vAlign w:val="center"/>
          </w:tcPr>
          <w:p>
            <w:pPr>
              <w:spacing w:line="295"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w w:val="105"/>
                <w:kern w:val="0"/>
                <w:sz w:val="21"/>
                <w:szCs w:val="21"/>
                <w:lang w:eastAsia="en-US"/>
              </w:rPr>
              <w:t>HCl</w:t>
            </w:r>
          </w:p>
        </w:tc>
        <w:tc>
          <w:tcPr>
            <w:tcW w:w="2525" w:type="pct"/>
            <w:gridSpan w:val="2"/>
            <w:tcBorders>
              <w:top w:val="single" w:color="000000" w:sz="4" w:space="0"/>
              <w:left w:val="single" w:color="000000" w:sz="4" w:space="0"/>
              <w:bottom w:val="single" w:color="000000" w:sz="4" w:space="0"/>
              <w:right w:val="single" w:color="000000" w:sz="12" w:space="0"/>
            </w:tcBorders>
            <w:vAlign w:val="center"/>
          </w:tcPr>
          <w:p>
            <w:pPr>
              <w:spacing w:line="30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1.55</w:t>
            </w:r>
          </w:p>
        </w:tc>
      </w:tr>
      <w:tr>
        <w:tblPrEx>
          <w:tblCellMar>
            <w:top w:w="0" w:type="dxa"/>
            <w:left w:w="0" w:type="dxa"/>
            <w:bottom w:w="0" w:type="dxa"/>
            <w:right w:w="0" w:type="dxa"/>
          </w:tblCellMar>
        </w:tblPrEx>
        <w:trPr>
          <w:trHeight w:val="350" w:hRule="exact"/>
        </w:trPr>
        <w:tc>
          <w:tcPr>
            <w:tcW w:w="1110" w:type="pct"/>
            <w:vMerge w:val="restart"/>
            <w:tcBorders>
              <w:top w:val="single" w:color="000000" w:sz="4" w:space="0"/>
              <w:left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固体废物</w:t>
            </w:r>
          </w:p>
        </w:tc>
        <w:tc>
          <w:tcPr>
            <w:tcW w:w="1365" w:type="pct"/>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危险废物</w:t>
            </w:r>
          </w:p>
        </w:tc>
        <w:tc>
          <w:tcPr>
            <w:tcW w:w="2525" w:type="pct"/>
            <w:gridSpan w:val="2"/>
            <w:tcBorders>
              <w:top w:val="single" w:color="000000" w:sz="4" w:space="0"/>
              <w:left w:val="single" w:color="000000" w:sz="4" w:space="0"/>
              <w:bottom w:val="single" w:color="000000" w:sz="4" w:space="0"/>
              <w:right w:val="single" w:color="000000" w:sz="12" w:space="0"/>
            </w:tcBorders>
            <w:vAlign w:val="center"/>
          </w:tcPr>
          <w:p>
            <w:pPr>
              <w:spacing w:line="304"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w w:val="90"/>
                <w:kern w:val="0"/>
                <w:sz w:val="21"/>
                <w:szCs w:val="21"/>
                <w:lang w:eastAsia="en-US"/>
              </w:rPr>
              <w:t>0</w:t>
            </w:r>
          </w:p>
        </w:tc>
      </w:tr>
      <w:tr>
        <w:tblPrEx>
          <w:tblCellMar>
            <w:top w:w="0" w:type="dxa"/>
            <w:left w:w="0" w:type="dxa"/>
            <w:bottom w:w="0" w:type="dxa"/>
            <w:right w:w="0" w:type="dxa"/>
          </w:tblCellMar>
        </w:tblPrEx>
        <w:trPr>
          <w:trHeight w:val="360" w:hRule="exact"/>
        </w:trPr>
        <w:tc>
          <w:tcPr>
            <w:tcW w:w="1110" w:type="pct"/>
            <w:vMerge w:val="continue"/>
            <w:tcBorders>
              <w:left w:val="single" w:color="000000" w:sz="12" w:space="0"/>
              <w:bottom w:val="single" w:color="000000" w:sz="12" w:space="0"/>
              <w:right w:val="single" w:color="000000" w:sz="4" w:space="0"/>
            </w:tcBorders>
            <w:vAlign w:val="center"/>
          </w:tcPr>
          <w:p>
            <w:pPr>
              <w:jc w:val="center"/>
              <w:rPr>
                <w:rFonts w:ascii="Times New Roman" w:hAnsi="Times New Roman" w:eastAsia="仿宋" w:cs="Times New Roman"/>
                <w:kern w:val="0"/>
                <w:sz w:val="21"/>
                <w:szCs w:val="21"/>
                <w:lang w:eastAsia="en-US"/>
              </w:rPr>
            </w:pPr>
          </w:p>
        </w:tc>
        <w:tc>
          <w:tcPr>
            <w:tcW w:w="1365" w:type="pct"/>
            <w:gridSpan w:val="2"/>
            <w:tcBorders>
              <w:top w:val="single" w:color="000000" w:sz="4" w:space="0"/>
              <w:left w:val="single" w:color="000000" w:sz="4" w:space="0"/>
              <w:bottom w:val="single" w:color="000000" w:sz="12" w:space="0"/>
              <w:right w:val="single" w:color="000000" w:sz="4" w:space="0"/>
            </w:tcBorders>
            <w:vAlign w:val="center"/>
          </w:tcPr>
          <w:p>
            <w:pPr>
              <w:spacing w:line="274"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kern w:val="0"/>
                <w:sz w:val="21"/>
                <w:szCs w:val="21"/>
                <w:lang w:eastAsia="en-US"/>
              </w:rPr>
              <w:t>一般固废</w:t>
            </w:r>
          </w:p>
        </w:tc>
        <w:tc>
          <w:tcPr>
            <w:tcW w:w="2525" w:type="pct"/>
            <w:gridSpan w:val="2"/>
            <w:tcBorders>
              <w:top w:val="single" w:color="000000" w:sz="4" w:space="0"/>
              <w:left w:val="single" w:color="000000" w:sz="4" w:space="0"/>
              <w:bottom w:val="single" w:color="000000" w:sz="12" w:space="0"/>
              <w:right w:val="single" w:color="000000" w:sz="12" w:space="0"/>
            </w:tcBorders>
            <w:vAlign w:val="center"/>
          </w:tcPr>
          <w:p>
            <w:pPr>
              <w:spacing w:line="302" w:lineRule="exact"/>
              <w:jc w:val="center"/>
              <w:rPr>
                <w:rFonts w:ascii="Times New Roman" w:hAnsi="Times New Roman" w:eastAsia="仿宋" w:cs="Times New Roman"/>
                <w:kern w:val="0"/>
                <w:sz w:val="21"/>
                <w:szCs w:val="21"/>
                <w:lang w:eastAsia="en-US"/>
              </w:rPr>
            </w:pPr>
            <w:r>
              <w:rPr>
                <w:rFonts w:ascii="Times New Roman" w:hAnsi="Times New Roman" w:eastAsia="仿宋" w:cs="Times New Roman"/>
                <w:w w:val="90"/>
                <w:kern w:val="0"/>
                <w:sz w:val="21"/>
                <w:szCs w:val="21"/>
                <w:lang w:eastAsia="en-US"/>
              </w:rPr>
              <w:t>0</w:t>
            </w:r>
          </w:p>
        </w:tc>
      </w:tr>
    </w:tbl>
    <w:p/>
    <w:p>
      <w:pPr>
        <w:sectPr>
          <w:pgSz w:w="11906" w:h="16838"/>
          <w:pgMar w:top="1440" w:right="1083" w:bottom="1440" w:left="1083" w:header="851" w:footer="397" w:gutter="0"/>
          <w:pgNumType w:fmt="decimal"/>
          <w:cols w:space="425" w:num="1"/>
          <w:docGrid w:type="lines" w:linePitch="326" w:charSpace="0"/>
        </w:sectPr>
      </w:pPr>
    </w:p>
    <w:p>
      <w:pPr>
        <w:pStyle w:val="4"/>
        <w:spacing w:before="31" w:beforeLines="10" w:after="31" w:afterLines="10" w:line="360" w:lineRule="auto"/>
        <w:rPr>
          <w:rFonts w:ascii="Times New Roman" w:hAnsi="Times New Roman" w:eastAsia="仿宋"/>
          <w:sz w:val="24"/>
          <w:szCs w:val="24"/>
        </w:rPr>
      </w:pPr>
      <w:bookmarkStart w:id="178" w:name="_Toc19952"/>
      <w:r>
        <w:rPr>
          <w:rFonts w:ascii="Times New Roman" w:hAnsi="Times New Roman" w:eastAsia="仿宋"/>
          <w:sz w:val="24"/>
          <w:szCs w:val="24"/>
        </w:rPr>
        <w:t>2.5.</w:t>
      </w:r>
      <w:r>
        <w:rPr>
          <w:rFonts w:hint="eastAsia" w:ascii="Times New Roman" w:hAnsi="Times New Roman" w:eastAsia="仿宋"/>
          <w:sz w:val="24"/>
          <w:szCs w:val="24"/>
        </w:rPr>
        <w:t xml:space="preserve">5 </w:t>
      </w:r>
      <w:r>
        <w:rPr>
          <w:rFonts w:ascii="Times New Roman" w:hAnsi="Times New Roman" w:eastAsia="仿宋"/>
          <w:sz w:val="24"/>
          <w:szCs w:val="24"/>
        </w:rPr>
        <w:t>识别潜在污染因子</w:t>
      </w:r>
      <w:bookmarkEnd w:id="178"/>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综合考虑在产工业企业土壤污染风险和企业环境风险，本项目土壤识别的潜在污染因子主要包括以下3个方面：①企业厂区内特征污染物；②《土壤环境质量 建设用地土壤污染风险管控标准（试行）》（GB36600-2018）中基本项目45项；③《在产企业土壤及地下水自行监测技术指南》中附录B。</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（1）特征污染物：</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根据收集到的企业主要产品、原辅材料、生产工艺、三废排放、构（建）筑物功能区等基本信息，大致判断出该企业厂区内涉及到的主要特征污染物为：①盐酸、氢氧化钠、硫酸、氯磺酸、硝酸、二氧化硫、三氧化硫、次氯酸钠、液氯、氯化物等无机酸碱盐；②钒等重金属；③石油烃等有机物。因此，对该项目地块厂区内土壤及地下水环境造成潜在污染的主要特征污染因子包含重金属钒、石油烃类和pH。</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（2）土壤国标45项基本项（GB36600-2018）</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为加强建设用地土壤环境管理里，《土壤环境质量 建设用地土壤污染风险管控标准（试行）》（GB36600-2018）规定了保护人体健康的建设用地污染风险筛选值和管制值，以及监测、实施与监督要求。其中，针对各类建设用地，基本测试项目包括重金属和无机物7项，挥发性有机物27项，半挥发性有机物11项。</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（3）《在产企业土壤及地下水自行监测技术指南》中附录B</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根据《在产企业土壤及地下水自行监测技术指南》相关要求，本企业为C2611无机酸制造，参照261基础化学原料制造（无机），污染物类别包括A1类重金属8种（镉、铅、铬、铜、锌、镍、汞、砷）、A2类重金属与元素8种（锰、钴、硒、钒、锑、铊、铍、钼）、A3类无机物2种（氰化物、氟化物）和C3类石油烃。</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在此分析的基础上，部分潜在污染因子鉴于评价标准、实验室检测受限，实际来源用量或产量、经费，并结合特征污染物物化、毒性性质、年限、在土壤和地下水迁移转化能力等综合考虑，选取其中部分因子或相近因子作为地块检测污染物进行监测。</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此外，根据该地块厂区内各功能区分布、使用年限及成本节约综合考虑，仅在厂区内升压站和污水处理区域增测多氯联苯污染物，以排除该类污染物污染。</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经综合分析，本企业厂区内土壤和地下水监测项目具体如下：</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（1）土壤样品监测项目：pH、含水率、氯化物、总石油烃及《土壤环境质量 建设用地土壤污染风险管控标准（试行）》（GB36600-2018）中基本项目45项（重金属7项，挥发有机物27项，半挥发有机物11项），其中特征污染因子包含pH、重金属钒和总石油烃类。</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地下水样品监测项目：pH值、常规无机理化指标（总硬度、氟离子、氯离子、硝酸盐氮、硫酸根离子、硫化物、总氰化物、亚硝酸盐氮、挥发酚类、氨氮）、重金属（、镉、铜、铅、锌、汞、砷、硒）、六价铬、总石油烃、挥发性有机物（VOCs）及半挥发性有机物（SVOCs），其中特征污染因子包含pH和总石油烃类。</w:t>
      </w:r>
    </w:p>
    <w:p>
      <w:pPr>
        <w:pStyle w:val="55"/>
        <w:spacing w:line="360" w:lineRule="auto"/>
        <w:ind w:firstLine="482"/>
        <w:rPr>
          <w:rFonts w:ascii="Times New Roman" w:hAnsi="Times New Roman" w:eastAsia="仿宋"/>
          <w:b/>
          <w:bCs/>
          <w:sz w:val="24"/>
          <w:szCs w:val="24"/>
        </w:rPr>
      </w:pPr>
      <w:r>
        <w:rPr>
          <w:rFonts w:ascii="Times New Roman" w:hAnsi="Times New Roman" w:eastAsia="仿宋"/>
          <w:b/>
          <w:bCs/>
          <w:sz w:val="24"/>
          <w:szCs w:val="24"/>
        </w:rPr>
        <w:br w:type="page"/>
      </w:r>
    </w:p>
    <w:p>
      <w:pPr>
        <w:pStyle w:val="2"/>
        <w:jc w:val="center"/>
        <w:rPr>
          <w:rFonts w:eastAsia="仿宋"/>
          <w:sz w:val="32"/>
          <w:szCs w:val="28"/>
        </w:rPr>
      </w:pPr>
      <w:bookmarkStart w:id="179" w:name="_Toc28325"/>
      <w:r>
        <w:rPr>
          <w:rFonts w:eastAsia="仿宋"/>
          <w:sz w:val="32"/>
          <w:szCs w:val="28"/>
        </w:rPr>
        <w:t>第</w:t>
      </w:r>
      <w:r>
        <w:rPr>
          <w:rFonts w:hint="eastAsia" w:eastAsia="仿宋"/>
          <w:sz w:val="32"/>
          <w:szCs w:val="28"/>
        </w:rPr>
        <w:t>三</w:t>
      </w:r>
      <w:r>
        <w:rPr>
          <w:rFonts w:eastAsia="仿宋"/>
          <w:sz w:val="32"/>
          <w:szCs w:val="28"/>
        </w:rPr>
        <w:t>章 土壤污染隐患排查</w:t>
      </w:r>
      <w:bookmarkEnd w:id="179"/>
    </w:p>
    <w:p>
      <w:pPr>
        <w:pStyle w:val="3"/>
        <w:spacing w:before="163" w:beforeLines="50" w:after="163" w:afterLines="50" w:line="360" w:lineRule="auto"/>
        <w:jc w:val="left"/>
        <w:rPr>
          <w:rFonts w:hint="default" w:ascii="Times New Roman" w:hAnsi="Times New Roman" w:eastAsia="仿宋"/>
          <w:sz w:val="24"/>
          <w:szCs w:val="24"/>
          <w:lang w:val="en-US" w:eastAsia="zh-CN"/>
        </w:rPr>
      </w:pPr>
      <w:bookmarkStart w:id="180" w:name="_Toc7163"/>
      <w:r>
        <w:rPr>
          <w:rFonts w:hint="eastAsia" w:ascii="仿宋" w:hAnsi="仿宋" w:eastAsia="仿宋" w:cs="仿宋"/>
          <w:sz w:val="24"/>
          <w:szCs w:val="24"/>
          <w:lang w:val="en-US" w:eastAsia="zh-CN"/>
        </w:rPr>
        <w:t>3.1 排查要点</w:t>
      </w:r>
      <w:bookmarkEnd w:id="180"/>
    </w:p>
    <w:p>
      <w:pPr>
        <w:spacing w:line="360" w:lineRule="auto"/>
        <w:ind w:firstLine="480" w:firstLineChars="200"/>
        <w:rPr>
          <w:rFonts w:hint="default" w:ascii="Times New Roman" w:hAnsi="Times New Roman" w:eastAsia="仿宋"/>
          <w:sz w:val="24"/>
          <w:szCs w:val="24"/>
          <w:lang w:val="en-US" w:eastAsia="zh-CN"/>
        </w:rPr>
      </w:pPr>
      <w:r>
        <w:rPr>
          <w:rFonts w:ascii="Times New Roman" w:hAnsi="Times New Roman" w:eastAsia="仿宋"/>
          <w:sz w:val="24"/>
          <w:szCs w:val="24"/>
        </w:rPr>
        <w:t>为了识别企业在生产过程中的潜在土壤污染风险</w:t>
      </w:r>
      <w:r>
        <w:rPr>
          <w:rFonts w:hint="eastAsia" w:ascii="Times New Roman" w:hAnsi="Times New Roman" w:eastAsia="仿宋"/>
          <w:sz w:val="24"/>
          <w:szCs w:val="24"/>
        </w:rPr>
        <w:t>，</w:t>
      </w:r>
      <w:r>
        <w:rPr>
          <w:rFonts w:ascii="Times New Roman" w:hAnsi="Times New Roman" w:eastAsia="仿宋"/>
          <w:sz w:val="24"/>
          <w:szCs w:val="24"/>
        </w:rPr>
        <w:t>本单位按照《工业企土壤污染隐患排查和整改指南》的相关要求，</w:t>
      </w:r>
      <w:r>
        <w:rPr>
          <w:rFonts w:hint="eastAsia" w:ascii="Times New Roman" w:hAnsi="Times New Roman" w:eastAsia="仿宋"/>
          <w:sz w:val="24"/>
          <w:szCs w:val="24"/>
          <w:lang w:val="en-US" w:eastAsia="zh-CN"/>
        </w:rPr>
        <w:t>拟</w:t>
      </w:r>
      <w:r>
        <w:rPr>
          <w:rFonts w:ascii="Times New Roman" w:hAnsi="Times New Roman" w:eastAsia="仿宋"/>
          <w:sz w:val="24"/>
          <w:szCs w:val="24"/>
        </w:rPr>
        <w:t>对</w:t>
      </w:r>
      <w:r>
        <w:rPr>
          <w:rFonts w:hint="eastAsia" w:ascii="Times New Roman" w:hAnsi="Times New Roman" w:eastAsia="仿宋"/>
          <w:sz w:val="24"/>
          <w:szCs w:val="24"/>
          <w:lang w:val="en-US" w:eastAsia="zh-CN"/>
        </w:rPr>
        <w:t>双狮化工</w:t>
      </w:r>
      <w:r>
        <w:rPr>
          <w:rFonts w:hint="eastAsia" w:ascii="Times New Roman" w:hAnsi="Times New Roman" w:eastAsia="仿宋"/>
          <w:sz w:val="24"/>
          <w:szCs w:val="24"/>
        </w:rPr>
        <w:t>厂区</w:t>
      </w:r>
      <w:r>
        <w:rPr>
          <w:rFonts w:ascii="Times New Roman" w:hAnsi="Times New Roman" w:eastAsia="仿宋"/>
          <w:sz w:val="24"/>
          <w:szCs w:val="24"/>
        </w:rPr>
        <w:t>内部</w:t>
      </w:r>
      <w:r>
        <w:rPr>
          <w:rFonts w:hint="default" w:ascii="Times New Roman" w:hAnsi="Times New Roman" w:eastAsia="仿宋"/>
          <w:sz w:val="24"/>
          <w:szCs w:val="24"/>
          <w:lang w:val="en-US" w:eastAsia="zh-CN"/>
        </w:rPr>
        <w:t>重点场所和重点设施是否具有基本的防渗漏、流失、扬散的土壤污染预防功能，以及有关预防土壤污染管理制度建立和执行情况</w:t>
      </w:r>
      <w:r>
        <w:rPr>
          <w:rFonts w:hint="eastAsia" w:ascii="Times New Roman" w:hAnsi="Times New Roman" w:eastAsia="仿宋"/>
          <w:sz w:val="24"/>
          <w:szCs w:val="24"/>
          <w:lang w:val="en-US" w:eastAsia="zh-CN"/>
        </w:rPr>
        <w:t>逐一排查</w:t>
      </w:r>
      <w:r>
        <w:rPr>
          <w:rFonts w:hint="default" w:ascii="Times New Roman" w:hAnsi="Times New Roman" w:eastAsia="仿宋"/>
          <w:sz w:val="24"/>
          <w:szCs w:val="24"/>
          <w:lang w:val="en-US" w:eastAsia="zh-CN"/>
        </w:rPr>
        <w:t>。在发生渗漏、流失、扬散的情况下，是否具有防止污染物进入土壤的设施，包括二次保护设施（如储罐区设置围堰及渗漏液收集沟）、防滴漏设施（如小型储罐、原料桶采用托盘盛放），以及地面防渗阻隔系统（指地面做防渗处理，各连接处进行密封处理，周边设置收集沟渠或者围堰等）。是否有能有效、及时发现及处理泄漏、渗漏或者土壤污染的设施或者措施。如二次保护设施需要更严格的管理措施，地面防渗阻隔系统需要定期检测密封、防渗、阻隔性能等</w:t>
      </w:r>
      <w:r>
        <w:rPr>
          <w:rFonts w:hint="eastAsia" w:ascii="Times New Roman" w:hAnsi="Times New Roman" w:eastAsia="仿宋"/>
          <w:sz w:val="24"/>
          <w:szCs w:val="24"/>
          <w:lang w:val="en-US" w:eastAsia="zh-CN"/>
        </w:rPr>
        <w:t>现状分区域分等级重点排查</w:t>
      </w:r>
      <w:r>
        <w:rPr>
          <w:rFonts w:hint="default" w:ascii="Times New Roman" w:hAnsi="Times New Roman" w:eastAsia="仿宋"/>
          <w:sz w:val="24"/>
          <w:szCs w:val="24"/>
          <w:lang w:val="en-US" w:eastAsia="zh-CN"/>
        </w:rPr>
        <w:t>。</w:t>
      </w:r>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分别落实相关记录</w:t>
      </w:r>
      <w:r>
        <w:rPr>
          <w:rFonts w:hint="eastAsia" w:ascii="Times New Roman" w:hAnsi="Times New Roman" w:eastAsia="仿宋"/>
          <w:sz w:val="24"/>
          <w:szCs w:val="24"/>
        </w:rPr>
        <w:t>、</w:t>
      </w:r>
      <w:r>
        <w:rPr>
          <w:rFonts w:ascii="Times New Roman" w:hAnsi="Times New Roman" w:eastAsia="仿宋"/>
          <w:sz w:val="24"/>
          <w:szCs w:val="24"/>
        </w:rPr>
        <w:t>资料</w:t>
      </w:r>
      <w:r>
        <w:rPr>
          <w:rFonts w:hint="eastAsia" w:ascii="Times New Roman" w:hAnsi="Times New Roman" w:eastAsia="仿宋"/>
          <w:sz w:val="24"/>
          <w:szCs w:val="24"/>
        </w:rPr>
        <w:t>、</w:t>
      </w:r>
      <w:r>
        <w:rPr>
          <w:rFonts w:ascii="Times New Roman" w:hAnsi="Times New Roman" w:eastAsia="仿宋"/>
          <w:sz w:val="24"/>
          <w:szCs w:val="24"/>
        </w:rPr>
        <w:t>现场照片等工作</w:t>
      </w:r>
      <w:r>
        <w:rPr>
          <w:rFonts w:hint="eastAsia" w:ascii="Times New Roman" w:hAnsi="Times New Roman" w:eastAsia="仿宋"/>
          <w:sz w:val="24"/>
          <w:szCs w:val="24"/>
        </w:rPr>
        <w:t>。</w:t>
      </w:r>
      <w:r>
        <w:rPr>
          <w:rFonts w:ascii="Times New Roman" w:hAnsi="Times New Roman" w:eastAsia="仿宋"/>
          <w:sz w:val="24"/>
          <w:szCs w:val="24"/>
        </w:rPr>
        <w:t>对发现存在严重污染情况者</w:t>
      </w:r>
      <w:r>
        <w:rPr>
          <w:rFonts w:hint="eastAsia" w:ascii="Times New Roman" w:hAnsi="Times New Roman" w:eastAsia="仿宋"/>
          <w:sz w:val="24"/>
          <w:szCs w:val="24"/>
        </w:rPr>
        <w:t>，</w:t>
      </w:r>
      <w:r>
        <w:rPr>
          <w:rFonts w:ascii="Times New Roman" w:hAnsi="Times New Roman" w:eastAsia="仿宋"/>
          <w:sz w:val="24"/>
          <w:szCs w:val="24"/>
        </w:rPr>
        <w:t>及时上报相关机构</w:t>
      </w:r>
      <w:r>
        <w:rPr>
          <w:rFonts w:hint="eastAsia" w:ascii="Times New Roman" w:hAnsi="Times New Roman" w:eastAsia="仿宋"/>
          <w:sz w:val="24"/>
          <w:szCs w:val="24"/>
        </w:rPr>
        <w:t>、</w:t>
      </w:r>
      <w:r>
        <w:rPr>
          <w:rFonts w:ascii="Times New Roman" w:hAnsi="Times New Roman" w:eastAsia="仿宋"/>
          <w:sz w:val="24"/>
          <w:szCs w:val="24"/>
        </w:rPr>
        <w:t>责任部门并及时处理</w:t>
      </w:r>
      <w:r>
        <w:rPr>
          <w:rFonts w:hint="eastAsia" w:ascii="Times New Roman" w:hAnsi="Times New Roman" w:eastAsia="仿宋"/>
          <w:sz w:val="24"/>
          <w:szCs w:val="24"/>
        </w:rPr>
        <w:t>。结合企业实际情况，本次土壤隐患排查重点设施设备排查对象如下：</w:t>
      </w:r>
    </w:p>
    <w:p>
      <w:pPr>
        <w:numPr>
          <w:ilvl w:val="0"/>
          <w:numId w:val="3"/>
        </w:numPr>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rPr>
        <w:t>厂区内液体存储</w:t>
      </w:r>
      <w:r>
        <w:rPr>
          <w:rFonts w:hint="eastAsia" w:ascii="Times New Roman" w:hAnsi="Times New Roman" w:eastAsia="仿宋"/>
          <w:sz w:val="24"/>
          <w:szCs w:val="24"/>
          <w:lang w:val="en-US" w:eastAsia="zh-CN"/>
        </w:rPr>
        <w:t>罐区</w:t>
      </w:r>
      <w:r>
        <w:rPr>
          <w:rFonts w:hint="eastAsia" w:ascii="Times New Roman" w:hAnsi="Times New Roman" w:eastAsia="仿宋"/>
          <w:sz w:val="24"/>
          <w:szCs w:val="24"/>
        </w:rPr>
        <w:t>隐患排查；</w:t>
      </w:r>
    </w:p>
    <w:p>
      <w:pPr>
        <w:numPr>
          <w:ilvl w:val="0"/>
          <w:numId w:val="3"/>
        </w:numPr>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lang w:val="en-US" w:eastAsia="zh-CN"/>
        </w:rPr>
        <w:t>厂区管线输送区</w:t>
      </w:r>
      <w:r>
        <w:rPr>
          <w:rFonts w:hint="eastAsia" w:ascii="Times New Roman" w:hAnsi="Times New Roman" w:eastAsia="仿宋"/>
          <w:sz w:val="24"/>
          <w:szCs w:val="24"/>
        </w:rPr>
        <w:t>隐患排查；</w:t>
      </w:r>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w:t>
      </w:r>
      <w:r>
        <w:rPr>
          <w:rFonts w:hint="eastAsia" w:ascii="Times New Roman" w:hAnsi="Times New Roman" w:eastAsia="仿宋"/>
          <w:sz w:val="24"/>
          <w:szCs w:val="24"/>
          <w:lang w:val="en-US" w:eastAsia="zh-CN"/>
        </w:rPr>
        <w:t>3</w:t>
      </w:r>
      <w:r>
        <w:rPr>
          <w:rFonts w:hint="eastAsia" w:ascii="Times New Roman" w:hAnsi="Times New Roman" w:eastAsia="仿宋"/>
          <w:sz w:val="24"/>
          <w:szCs w:val="24"/>
        </w:rPr>
        <w:t>）厂区内液体的转运</w:t>
      </w:r>
      <w:r>
        <w:rPr>
          <w:rFonts w:hint="eastAsia" w:ascii="Times New Roman" w:hAnsi="Times New Roman" w:eastAsia="仿宋"/>
          <w:sz w:val="24"/>
          <w:szCs w:val="24"/>
          <w:lang w:val="en-US" w:eastAsia="zh-CN"/>
        </w:rPr>
        <w:t>区</w:t>
      </w:r>
      <w:r>
        <w:rPr>
          <w:rFonts w:hint="eastAsia" w:ascii="Times New Roman" w:hAnsi="Times New Roman" w:eastAsia="仿宋"/>
          <w:sz w:val="24"/>
          <w:szCs w:val="24"/>
        </w:rPr>
        <w:t>隐患排查；</w:t>
      </w:r>
    </w:p>
    <w:p>
      <w:pPr>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rPr>
        <w:t>（</w:t>
      </w:r>
      <w:r>
        <w:rPr>
          <w:rFonts w:hint="eastAsia" w:ascii="Times New Roman" w:hAnsi="Times New Roman" w:eastAsia="仿宋"/>
          <w:sz w:val="24"/>
          <w:szCs w:val="24"/>
          <w:lang w:val="en-US" w:eastAsia="zh-CN"/>
        </w:rPr>
        <w:t>4</w:t>
      </w:r>
      <w:r>
        <w:rPr>
          <w:rFonts w:hint="eastAsia" w:ascii="Times New Roman" w:hAnsi="Times New Roman" w:eastAsia="仿宋"/>
          <w:sz w:val="24"/>
          <w:szCs w:val="24"/>
        </w:rPr>
        <w:t>）厂区散装和包装材料的存储与运输区隐患排查；</w:t>
      </w:r>
    </w:p>
    <w:p>
      <w:pPr>
        <w:spacing w:line="360" w:lineRule="auto"/>
        <w:ind w:firstLine="480" w:firstLineChars="200"/>
        <w:rPr>
          <w:rFonts w:hint="eastAsia" w:ascii="Times New Roman" w:hAnsi="Times New Roman" w:eastAsia="仿宋"/>
          <w:sz w:val="24"/>
          <w:szCs w:val="24"/>
          <w:lang w:eastAsia="zh-CN"/>
        </w:rPr>
      </w:pPr>
      <w:r>
        <w:rPr>
          <w:rFonts w:hint="eastAsia" w:ascii="Times New Roman" w:hAnsi="Times New Roman" w:eastAsia="仿宋"/>
          <w:sz w:val="24"/>
          <w:szCs w:val="24"/>
        </w:rPr>
        <w:t>（</w:t>
      </w:r>
      <w:r>
        <w:rPr>
          <w:rFonts w:hint="eastAsia" w:ascii="Times New Roman" w:hAnsi="Times New Roman" w:eastAsia="仿宋"/>
          <w:sz w:val="24"/>
          <w:szCs w:val="24"/>
          <w:lang w:val="en-US" w:eastAsia="zh-CN"/>
        </w:rPr>
        <w:t>5</w:t>
      </w:r>
      <w:r>
        <w:rPr>
          <w:rFonts w:hint="eastAsia" w:ascii="Times New Roman" w:hAnsi="Times New Roman" w:eastAsia="仿宋"/>
          <w:sz w:val="24"/>
          <w:szCs w:val="24"/>
        </w:rPr>
        <w:t>）</w:t>
      </w:r>
      <w:r>
        <w:rPr>
          <w:rFonts w:hint="eastAsia" w:ascii="Times New Roman" w:hAnsi="Times New Roman" w:eastAsia="仿宋"/>
          <w:sz w:val="24"/>
          <w:szCs w:val="24"/>
          <w:lang w:val="en-US" w:eastAsia="zh-CN"/>
        </w:rPr>
        <w:t>厂区</w:t>
      </w:r>
      <w:r>
        <w:rPr>
          <w:rFonts w:hint="eastAsia" w:ascii="Times New Roman" w:hAnsi="Times New Roman" w:eastAsia="仿宋"/>
          <w:sz w:val="24"/>
          <w:szCs w:val="24"/>
        </w:rPr>
        <w:t>生产加工装置</w:t>
      </w:r>
      <w:r>
        <w:rPr>
          <w:rFonts w:hint="eastAsia" w:ascii="Times New Roman" w:hAnsi="Times New Roman" w:eastAsia="仿宋"/>
          <w:sz w:val="24"/>
          <w:szCs w:val="24"/>
          <w:lang w:val="en-US" w:eastAsia="zh-CN"/>
        </w:rPr>
        <w:t>区</w:t>
      </w:r>
      <w:r>
        <w:rPr>
          <w:rFonts w:hint="eastAsia" w:ascii="Times New Roman" w:hAnsi="Times New Roman" w:eastAsia="仿宋"/>
          <w:sz w:val="24"/>
          <w:szCs w:val="24"/>
        </w:rPr>
        <w:t>隐患排查</w:t>
      </w:r>
      <w:r>
        <w:rPr>
          <w:rFonts w:hint="eastAsia" w:ascii="Times New Roman" w:hAnsi="Times New Roman" w:eastAsia="仿宋"/>
          <w:sz w:val="24"/>
          <w:szCs w:val="24"/>
          <w:lang w:eastAsia="zh-CN"/>
        </w:rPr>
        <w:t>；</w:t>
      </w:r>
    </w:p>
    <w:p>
      <w:pPr>
        <w:spacing w:line="360" w:lineRule="auto"/>
        <w:ind w:firstLine="480" w:firstLineChars="200"/>
        <w:rPr>
          <w:rFonts w:hint="eastAsia" w:ascii="Times New Roman" w:hAnsi="Times New Roman" w:eastAsia="仿宋"/>
          <w:sz w:val="24"/>
          <w:szCs w:val="24"/>
          <w:lang w:val="en-US" w:eastAsia="zh-CN"/>
        </w:rPr>
      </w:pPr>
      <w:r>
        <w:rPr>
          <w:rFonts w:hint="eastAsia" w:ascii="Times New Roman" w:hAnsi="Times New Roman" w:eastAsia="仿宋"/>
          <w:sz w:val="24"/>
          <w:szCs w:val="24"/>
          <w:lang w:eastAsia="zh-CN"/>
        </w:rPr>
        <w:t>（</w:t>
      </w:r>
      <w:r>
        <w:rPr>
          <w:rFonts w:hint="eastAsia" w:ascii="Times New Roman" w:hAnsi="Times New Roman" w:eastAsia="仿宋"/>
          <w:sz w:val="24"/>
          <w:szCs w:val="24"/>
          <w:lang w:val="en-US" w:eastAsia="zh-CN"/>
        </w:rPr>
        <w:t>6</w:t>
      </w:r>
      <w:r>
        <w:rPr>
          <w:rFonts w:hint="eastAsia" w:ascii="Times New Roman" w:hAnsi="Times New Roman" w:eastAsia="仿宋"/>
          <w:sz w:val="24"/>
          <w:szCs w:val="24"/>
          <w:lang w:eastAsia="zh-CN"/>
        </w:rPr>
        <w:t>）</w:t>
      </w:r>
      <w:r>
        <w:rPr>
          <w:rFonts w:hint="eastAsia" w:ascii="Times New Roman" w:hAnsi="Times New Roman" w:eastAsia="仿宋"/>
          <w:sz w:val="24"/>
          <w:szCs w:val="24"/>
          <w:lang w:val="en-US" w:eastAsia="zh-CN"/>
        </w:rPr>
        <w:t>厂区内三废处理及储存区域隐患排查；</w:t>
      </w:r>
    </w:p>
    <w:p>
      <w:pPr>
        <w:spacing w:line="360" w:lineRule="auto"/>
        <w:ind w:firstLine="480" w:firstLineChars="200"/>
        <w:rPr>
          <w:rFonts w:hint="eastAsia" w:ascii="Times New Roman" w:hAnsi="Times New Roman" w:eastAsia="仿宋"/>
          <w:sz w:val="24"/>
          <w:szCs w:val="24"/>
          <w:lang w:val="en-US" w:eastAsia="zh-CN"/>
        </w:rPr>
      </w:pPr>
      <w:r>
        <w:rPr>
          <w:rFonts w:hint="eastAsia" w:ascii="Times New Roman" w:hAnsi="Times New Roman" w:eastAsia="仿宋"/>
          <w:sz w:val="24"/>
          <w:szCs w:val="24"/>
          <w:lang w:val="en-US" w:eastAsia="zh-CN"/>
        </w:rPr>
        <w:t>（7）环境管理制度及日常运营状况排查。</w:t>
      </w:r>
    </w:p>
    <w:p>
      <w:pPr>
        <w:pStyle w:val="3"/>
        <w:spacing w:before="163" w:beforeLines="50" w:after="163" w:afterLines="50" w:line="360" w:lineRule="auto"/>
        <w:jc w:val="left"/>
        <w:rPr>
          <w:rFonts w:hint="eastAsia" w:ascii="仿宋" w:hAnsi="仿宋" w:eastAsia="仿宋" w:cs="仿宋"/>
          <w:sz w:val="24"/>
          <w:szCs w:val="24"/>
        </w:rPr>
      </w:pPr>
      <w:bookmarkStart w:id="181" w:name="_Toc26267510"/>
      <w:bookmarkStart w:id="182" w:name="_Toc1733"/>
      <w:bookmarkStart w:id="183" w:name="_Toc512351186"/>
      <w:bookmarkStart w:id="184" w:name="_Toc32185"/>
      <w:bookmarkStart w:id="185" w:name="_Toc23767"/>
      <w:bookmarkStart w:id="186" w:name="_Toc498199433"/>
      <w:bookmarkStart w:id="187" w:name="_Toc16540"/>
      <w:bookmarkStart w:id="188" w:name="_Toc9371"/>
      <w:r>
        <w:rPr>
          <w:rFonts w:hint="eastAsia" w:ascii="仿宋" w:hAnsi="仿宋" w:eastAsia="仿宋" w:cs="仿宋"/>
          <w:sz w:val="24"/>
          <w:szCs w:val="24"/>
          <w:lang w:val="en-US" w:eastAsia="zh-CN"/>
        </w:rPr>
        <w:t xml:space="preserve">3.2 </w:t>
      </w:r>
      <w:r>
        <w:rPr>
          <w:rFonts w:hint="eastAsia" w:ascii="仿宋" w:hAnsi="仿宋" w:eastAsia="仿宋" w:cs="仿宋"/>
          <w:sz w:val="24"/>
          <w:szCs w:val="24"/>
        </w:rPr>
        <w:t>技术路线</w:t>
      </w:r>
      <w:bookmarkEnd w:id="181"/>
      <w:bookmarkEnd w:id="182"/>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依据《工业企业土壤污染隐患排查和整改指南》等文件相关内容，结合双狮（张家港）精细化工有限公司的实际情况，制定了土壤污染隐患排查工作技术路线，具体流程见图</w:t>
      </w:r>
      <w:r>
        <w:rPr>
          <w:rFonts w:hint="eastAsia" w:ascii="仿宋" w:hAnsi="仿宋" w:eastAsia="仿宋" w:cs="仿宋"/>
          <w:sz w:val="24"/>
          <w:szCs w:val="24"/>
          <w:lang w:val="en-US" w:eastAsia="zh-CN"/>
        </w:rPr>
        <w:t>3-1</w:t>
      </w:r>
      <w:r>
        <w:rPr>
          <w:rFonts w:hint="eastAsia" w:ascii="仿宋" w:hAnsi="仿宋" w:eastAsia="仿宋" w:cs="仿宋"/>
          <w:sz w:val="24"/>
          <w:szCs w:val="24"/>
        </w:rPr>
        <w:t>。</w:t>
      </w:r>
    </w:p>
    <w:p>
      <w:pPr>
        <w:rPr>
          <w:rStyle w:val="61"/>
          <w:rFonts w:eastAsia="仿宋"/>
          <w:b/>
          <w:sz w:val="32"/>
          <w:szCs w:val="32"/>
        </w:rPr>
      </w:pPr>
    </w:p>
    <w:p>
      <w:pPr>
        <w:spacing w:line="360" w:lineRule="auto"/>
        <w:jc w:val="center"/>
        <w:rPr>
          <w:rFonts w:eastAsia="仿宋_GB2312" w:cs="Times New Roman"/>
        </w:rPr>
      </w:pPr>
      <w:r>
        <w:rPr>
          <w:rFonts w:ascii="仿宋" w:hAnsi="仿宋" w:eastAsia="仿宋" w:cs="仿宋"/>
          <w:position w:val="-232"/>
          <w:sz w:val="20"/>
          <w:szCs w:val="20"/>
        </w:rPr>
        <w:drawing>
          <wp:inline distT="0" distB="0" distL="0" distR="0">
            <wp:extent cx="5182235" cy="7411085"/>
            <wp:effectExtent l="0" t="0" r="12065" b="5715"/>
            <wp:docPr id="2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2.png"/>
                    <pic:cNvPicPr>
                      <a:picLocks noChangeAspect="1"/>
                    </pic:cNvPicPr>
                  </pic:nvPicPr>
                  <pic:blipFill>
                    <a:blip r:embed="rId31" cstate="print"/>
                    <a:stretch>
                      <a:fillRect/>
                    </a:stretch>
                  </pic:blipFill>
                  <pic:spPr>
                    <a:xfrm>
                      <a:off x="0" y="0"/>
                      <a:ext cx="5182825" cy="7411402"/>
                    </a:xfrm>
                    <a:prstGeom prst="rect">
                      <a:avLst/>
                    </a:prstGeom>
                  </pic:spPr>
                </pic:pic>
              </a:graphicData>
            </a:graphic>
          </wp:inline>
        </w:drawing>
      </w:r>
    </w:p>
    <w:p>
      <w:pPr>
        <w:jc w:val="center"/>
        <w:rPr>
          <w:rStyle w:val="61"/>
          <w:rFonts w:hint="eastAsia" w:ascii="仿宋" w:hAnsi="仿宋" w:eastAsia="仿宋" w:cs="仿宋"/>
          <w:b/>
          <w:bCs/>
          <w:sz w:val="21"/>
          <w:szCs w:val="21"/>
        </w:rPr>
        <w:sectPr>
          <w:pgSz w:w="11906" w:h="16838"/>
          <w:pgMar w:top="1418" w:right="1077" w:bottom="1418" w:left="1077" w:header="851" w:footer="992" w:gutter="284"/>
          <w:pgNumType w:fmt="decimal"/>
          <w:cols w:space="720" w:num="1"/>
          <w:docGrid w:type="lines" w:linePitch="312" w:charSpace="0"/>
        </w:sectPr>
      </w:pPr>
      <w:r>
        <w:rPr>
          <w:rFonts w:hint="eastAsia" w:ascii="仿宋" w:hAnsi="仿宋" w:eastAsia="仿宋" w:cs="仿宋"/>
          <w:b/>
          <w:bCs/>
          <w:sz w:val="21"/>
          <w:szCs w:val="21"/>
        </w:rPr>
        <w:t>图</w:t>
      </w:r>
      <w:r>
        <w:rPr>
          <w:rFonts w:hint="eastAsia" w:ascii="仿宋" w:hAnsi="仿宋" w:eastAsia="仿宋" w:cs="仿宋"/>
          <w:b/>
          <w:bCs/>
          <w:sz w:val="21"/>
          <w:szCs w:val="21"/>
          <w:lang w:val="en-US" w:eastAsia="zh-CN"/>
        </w:rPr>
        <w:t>3-1</w:t>
      </w:r>
      <w:r>
        <w:rPr>
          <w:rFonts w:hint="eastAsia" w:ascii="仿宋" w:hAnsi="仿宋" w:eastAsia="仿宋" w:cs="仿宋"/>
          <w:b/>
          <w:bCs/>
          <w:sz w:val="21"/>
          <w:szCs w:val="21"/>
        </w:rPr>
        <w:t xml:space="preserve"> 企业土壤污染隐患排查工作流程图</w:t>
      </w:r>
    </w:p>
    <w:p>
      <w:pPr>
        <w:pStyle w:val="2"/>
        <w:jc w:val="center"/>
        <w:rPr>
          <w:rFonts w:eastAsia="仿宋"/>
          <w:b w:val="0"/>
          <w:sz w:val="32"/>
          <w:szCs w:val="32"/>
        </w:rPr>
      </w:pPr>
      <w:bookmarkStart w:id="189" w:name="_Toc19059"/>
      <w:r>
        <w:rPr>
          <w:rStyle w:val="61"/>
          <w:rFonts w:eastAsia="仿宋"/>
          <w:b/>
          <w:sz w:val="32"/>
          <w:szCs w:val="32"/>
        </w:rPr>
        <w:t>第</w:t>
      </w:r>
      <w:r>
        <w:rPr>
          <w:rStyle w:val="61"/>
          <w:rFonts w:hint="eastAsia" w:eastAsia="仿宋"/>
          <w:b/>
          <w:sz w:val="32"/>
          <w:szCs w:val="32"/>
        </w:rPr>
        <w:t>四</w:t>
      </w:r>
      <w:r>
        <w:rPr>
          <w:rStyle w:val="61"/>
          <w:rFonts w:eastAsia="仿宋"/>
          <w:b/>
          <w:sz w:val="32"/>
          <w:szCs w:val="32"/>
        </w:rPr>
        <w:t>章 场地调查工作计划</w:t>
      </w:r>
      <w:bookmarkEnd w:id="183"/>
      <w:bookmarkEnd w:id="184"/>
      <w:bookmarkEnd w:id="185"/>
      <w:bookmarkEnd w:id="186"/>
      <w:bookmarkEnd w:id="187"/>
      <w:bookmarkEnd w:id="188"/>
      <w:bookmarkEnd w:id="189"/>
    </w:p>
    <w:p>
      <w:pPr>
        <w:pStyle w:val="3"/>
        <w:spacing w:before="120" w:after="120" w:line="360" w:lineRule="auto"/>
        <w:rPr>
          <w:rFonts w:ascii="Times New Roman" w:hAnsi="Times New Roman" w:eastAsia="仿宋"/>
          <w:sz w:val="28"/>
          <w:szCs w:val="30"/>
        </w:rPr>
      </w:pPr>
      <w:bookmarkStart w:id="190" w:name="_Toc23466"/>
      <w:bookmarkStart w:id="191" w:name="_Toc31047"/>
      <w:bookmarkStart w:id="192" w:name="_Toc434353305"/>
      <w:bookmarkStart w:id="193" w:name="_Toc498199434"/>
      <w:bookmarkStart w:id="194" w:name="_Toc11022"/>
      <w:bookmarkStart w:id="195" w:name="_Toc6890"/>
      <w:bookmarkStart w:id="196" w:name="_Toc512351187"/>
      <w:bookmarkStart w:id="197" w:name="_Toc427516416"/>
      <w:bookmarkStart w:id="198" w:name="_Toc7673"/>
      <w:bookmarkStart w:id="199" w:name="_Toc3414"/>
      <w:r>
        <w:rPr>
          <w:rFonts w:hint="eastAsia" w:ascii="Times New Roman" w:hAnsi="Times New Roman" w:eastAsia="仿宋"/>
          <w:sz w:val="28"/>
          <w:szCs w:val="30"/>
        </w:rPr>
        <w:t>4</w:t>
      </w:r>
      <w:r>
        <w:rPr>
          <w:rFonts w:ascii="Times New Roman" w:hAnsi="Times New Roman" w:eastAsia="仿宋"/>
          <w:sz w:val="28"/>
          <w:szCs w:val="30"/>
        </w:rPr>
        <w:t>.1</w:t>
      </w:r>
      <w:r>
        <w:rPr>
          <w:rFonts w:hint="eastAsia" w:ascii="Times New Roman" w:hAnsi="Times New Roman" w:eastAsia="仿宋"/>
          <w:sz w:val="28"/>
          <w:szCs w:val="30"/>
        </w:rPr>
        <w:t xml:space="preserve"> </w:t>
      </w:r>
      <w:r>
        <w:rPr>
          <w:rFonts w:ascii="Times New Roman" w:hAnsi="Times New Roman" w:eastAsia="仿宋"/>
          <w:sz w:val="28"/>
          <w:szCs w:val="30"/>
        </w:rPr>
        <w:t>主要工作内容</w:t>
      </w:r>
      <w:bookmarkEnd w:id="190"/>
      <w:bookmarkEnd w:id="191"/>
      <w:bookmarkEnd w:id="192"/>
      <w:bookmarkEnd w:id="193"/>
      <w:bookmarkEnd w:id="194"/>
      <w:bookmarkEnd w:id="195"/>
      <w:bookmarkEnd w:id="196"/>
      <w:bookmarkEnd w:id="197"/>
      <w:bookmarkEnd w:id="198"/>
      <w:bookmarkEnd w:id="199"/>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本项目工作内容主要包括：</w:t>
      </w:r>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（1）收集地块的相关资料，包括平面布置图、生产工艺、产污环节、原辅材料、污染防治设施及措施，“三废”排放去向、生产过程中是否发生污染事故等。</w:t>
      </w:r>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（2）收集地块及其周边地区的水文地质资料，尽可能明确场地内土壤地质结构和地下水分布情况，必要时开展地质勘查</w:t>
      </w:r>
      <w:r>
        <w:rPr>
          <w:rFonts w:hint="eastAsia" w:ascii="Times New Roman" w:hAnsi="Times New Roman" w:eastAsia="仿宋"/>
          <w:sz w:val="24"/>
          <w:szCs w:val="24"/>
        </w:rPr>
        <w:t>，</w:t>
      </w:r>
      <w:r>
        <w:rPr>
          <w:rFonts w:ascii="Times New Roman" w:hAnsi="Times New Roman" w:eastAsia="仿宋"/>
          <w:sz w:val="24"/>
          <w:szCs w:val="24"/>
        </w:rPr>
        <w:t>对厂区内</w:t>
      </w:r>
      <w:r>
        <w:rPr>
          <w:rFonts w:hint="eastAsia" w:ascii="Times New Roman" w:hAnsi="Times New Roman" w:eastAsia="仿宋"/>
          <w:sz w:val="24"/>
          <w:szCs w:val="24"/>
        </w:rPr>
        <w:t>生产区、原辅料及产品储存区、危废储存区、污水处理区、应急池等</w:t>
      </w:r>
      <w:r>
        <w:rPr>
          <w:rFonts w:ascii="Times New Roman" w:hAnsi="Times New Roman" w:eastAsia="仿宋"/>
          <w:sz w:val="24"/>
          <w:szCs w:val="24"/>
        </w:rPr>
        <w:t>重点区域进行隐患排查</w:t>
      </w:r>
      <w:r>
        <w:rPr>
          <w:rFonts w:hint="eastAsia" w:ascii="Times New Roman" w:hAnsi="Times New Roman" w:eastAsia="仿宋"/>
          <w:sz w:val="24"/>
          <w:szCs w:val="24"/>
        </w:rPr>
        <w:t>，分别落实相关记录、资料、现场照片等工作</w:t>
      </w:r>
      <w:r>
        <w:rPr>
          <w:rFonts w:ascii="Times New Roman" w:hAnsi="Times New Roman" w:eastAsia="仿宋"/>
          <w:sz w:val="24"/>
          <w:szCs w:val="24"/>
        </w:rPr>
        <w:t>。</w:t>
      </w:r>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（3）收集与相邻区域排污产生情况，明确是否有污染转移扩散情况发生的可能性。</w:t>
      </w:r>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（4）土壤调查。</w:t>
      </w:r>
      <w:r>
        <w:rPr>
          <w:rFonts w:hint="eastAsia" w:ascii="Times New Roman" w:hAnsi="Times New Roman" w:eastAsia="仿宋"/>
          <w:sz w:val="24"/>
          <w:szCs w:val="24"/>
        </w:rPr>
        <w:t>对场地内重点区域进行土壤布点调查，采集</w:t>
      </w:r>
      <w:r>
        <w:rPr>
          <w:rFonts w:hint="eastAsia" w:ascii="Times New Roman" w:hAnsi="Times New Roman" w:eastAsia="仿宋"/>
          <w:sz w:val="24"/>
          <w:szCs w:val="24"/>
          <w:lang w:val="en-US" w:eastAsia="zh-CN"/>
        </w:rPr>
        <w:t>表层</w:t>
      </w:r>
      <w:r>
        <w:rPr>
          <w:rFonts w:hint="eastAsia" w:ascii="Times New Roman" w:hAnsi="Times New Roman" w:eastAsia="仿宋"/>
          <w:sz w:val="24"/>
          <w:szCs w:val="24"/>
        </w:rPr>
        <w:t>土壤样品，检测土壤中可能存在的污染因子，并对数据结果进行分析，初步判断场地内土壤是否存在污染</w:t>
      </w:r>
      <w:r>
        <w:rPr>
          <w:rFonts w:ascii="Times New Roman" w:hAnsi="Times New Roman" w:eastAsia="仿宋"/>
          <w:sz w:val="24"/>
          <w:szCs w:val="24"/>
        </w:rPr>
        <w:t>。</w:t>
      </w:r>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（5）地下水调查。根据收集的水文地质资料，对场地内的地下水进行调查，明确地下水环境质量现状。</w:t>
      </w:r>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w:t>
      </w:r>
      <w:r>
        <w:rPr>
          <w:rFonts w:hint="eastAsia" w:ascii="Times New Roman" w:hAnsi="Times New Roman" w:eastAsia="仿宋"/>
          <w:sz w:val="24"/>
          <w:szCs w:val="24"/>
        </w:rPr>
        <w:t>6</w:t>
      </w:r>
      <w:r>
        <w:rPr>
          <w:rFonts w:ascii="Times New Roman" w:hAnsi="Times New Roman" w:eastAsia="仿宋"/>
          <w:sz w:val="24"/>
          <w:szCs w:val="24"/>
        </w:rPr>
        <w:t>）根据上述工作结果，编制《</w:t>
      </w:r>
      <w:r>
        <w:rPr>
          <w:rFonts w:hint="eastAsia" w:ascii="Times New Roman" w:hAnsi="Times New Roman" w:eastAsia="仿宋"/>
          <w:sz w:val="24"/>
          <w:szCs w:val="24"/>
        </w:rPr>
        <w:t>双狮（张家港）精细化工有限公司</w:t>
      </w:r>
      <w:r>
        <w:rPr>
          <w:rFonts w:hint="eastAsia" w:ascii="Times New Roman" w:hAnsi="Times New Roman" w:eastAsia="仿宋"/>
          <w:sz w:val="24"/>
          <w:szCs w:val="24"/>
          <w:lang w:val="en-US" w:eastAsia="zh-CN"/>
        </w:rPr>
        <w:t>2020年度</w:t>
      </w:r>
      <w:r>
        <w:rPr>
          <w:rFonts w:hint="eastAsia" w:ascii="Times New Roman" w:hAnsi="Times New Roman" w:eastAsia="仿宋"/>
          <w:sz w:val="24"/>
          <w:szCs w:val="24"/>
        </w:rPr>
        <w:t>土壤及地下水环境质量自行监测</w:t>
      </w:r>
      <w:r>
        <w:rPr>
          <w:rFonts w:ascii="Times New Roman" w:hAnsi="Times New Roman" w:eastAsia="仿宋"/>
          <w:sz w:val="24"/>
          <w:szCs w:val="24"/>
        </w:rPr>
        <w:t>报告》。</w:t>
      </w:r>
      <w:bookmarkStart w:id="200" w:name="_Toc498199435"/>
    </w:p>
    <w:p>
      <w:pPr>
        <w:pStyle w:val="3"/>
        <w:spacing w:before="120" w:after="120" w:line="360" w:lineRule="auto"/>
        <w:rPr>
          <w:rFonts w:hint="default" w:ascii="Times New Roman" w:hAnsi="Times New Roman" w:eastAsia="仿宋"/>
          <w:sz w:val="24"/>
          <w:szCs w:val="24"/>
          <w:lang w:val="en-US" w:eastAsia="zh-CN"/>
        </w:rPr>
      </w:pPr>
      <w:bookmarkStart w:id="201" w:name="_Toc1960"/>
      <w:r>
        <w:rPr>
          <w:rFonts w:hint="eastAsia" w:ascii="Times New Roman" w:hAnsi="Times New Roman" w:eastAsia="仿宋"/>
          <w:sz w:val="28"/>
          <w:szCs w:val="30"/>
        </w:rPr>
        <w:t>4</w:t>
      </w:r>
      <w:r>
        <w:rPr>
          <w:rFonts w:ascii="Times New Roman" w:hAnsi="Times New Roman" w:eastAsia="仿宋"/>
          <w:sz w:val="28"/>
          <w:szCs w:val="30"/>
        </w:rPr>
        <w:t>.</w:t>
      </w:r>
      <w:r>
        <w:rPr>
          <w:rFonts w:hint="eastAsia" w:ascii="Times New Roman" w:hAnsi="Times New Roman" w:eastAsia="仿宋"/>
          <w:sz w:val="28"/>
          <w:szCs w:val="30"/>
          <w:lang w:val="en-US" w:eastAsia="zh-CN"/>
        </w:rPr>
        <w:t>2</w:t>
      </w:r>
      <w:r>
        <w:rPr>
          <w:rFonts w:hint="eastAsia" w:ascii="Times New Roman" w:hAnsi="Times New Roman" w:eastAsia="仿宋"/>
          <w:sz w:val="28"/>
          <w:szCs w:val="30"/>
        </w:rPr>
        <w:t xml:space="preserve"> </w:t>
      </w:r>
      <w:r>
        <w:rPr>
          <w:rFonts w:hint="eastAsia" w:ascii="Times New Roman" w:hAnsi="Times New Roman" w:eastAsia="仿宋"/>
          <w:sz w:val="28"/>
          <w:szCs w:val="30"/>
          <w:lang w:val="en-US" w:eastAsia="zh-CN"/>
        </w:rPr>
        <w:t>采样不点原则</w:t>
      </w:r>
      <w:bookmarkEnd w:id="201"/>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根据前期资料收集与分析、现场踏勘及相关人员访谈，按照《场地环境调查技术导则》（HJ25.1-2014）、《场地环境监测技术导则》（HJ25.2-2014）和《在产企业土壤及地下水自行监测技术指南（征求意见稿）》等相关文件，确定本次项目场地土壤污染隐患排查土壤和地下水污染监测布点遵循以下原则： </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（1）全面性原则。一是对场地内可能的重污染和轻污染或无污染区域都要涉及，二是对不同土壤类型的区域都要涉及，以全面掌握污染较重和污染较轻的具体程度，对整个场地的总体污染情况有完整的把握。</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重点性原则。一是重点设施数量较多的企业可根据重点区域内部重点设施的分布情况，统筹规划重点区域内部自行监测点位的布设，重点对污染可能性较大的区域布点，在污染可能性较小或无污染的区域可相对少量布点，提高调查的针对性，合理节约监测成本；二是优先在最有可能污染的位置布点，尽量接近重点区域内污染隐患较大的重点设施；三是点位的布设需遵循不影响企业正常生产且不造成安全隐患与二次污染。</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（3）随机性原则。从统计学的角度出发，布点时去除主观因素的影响，在可能污染程度类型相同的区域，可通过随机布点提高所取样品的代表性。</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（4）综合性原则。根据场地的实际情况，采取不同的布点方式（随机布点法、判断布点法、分区布点法及系统布点法）相结合的方式，提高场地调查的科学性，避免因布点方式单一而导致成本提高。</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（5）有效性原则。监测布点应足以判别可疑点是否有潜在污染风险。</w:t>
      </w:r>
    </w:p>
    <w:p>
      <w:pPr>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（6）现场采样时，如遇障碍物无法继续钻进等情况，可根据实际情况进行适当调整</w:t>
      </w:r>
      <w:r>
        <w:rPr>
          <w:rFonts w:hint="eastAsia" w:ascii="仿宋" w:hAnsi="仿宋" w:eastAsia="仿宋" w:cs="仿宋"/>
          <w:sz w:val="24"/>
          <w:szCs w:val="24"/>
          <w:lang w:eastAsia="zh-CN"/>
        </w:rPr>
        <w:t>。</w:t>
      </w:r>
    </w:p>
    <w:p>
      <w:pPr>
        <w:pStyle w:val="3"/>
        <w:spacing w:before="120" w:after="120" w:line="360" w:lineRule="auto"/>
        <w:rPr>
          <w:rFonts w:ascii="Times New Roman" w:hAnsi="Times New Roman" w:eastAsia="仿宋"/>
          <w:b w:val="0"/>
          <w:sz w:val="30"/>
          <w:szCs w:val="30"/>
        </w:rPr>
      </w:pPr>
      <w:bookmarkStart w:id="202" w:name="_Toc19883"/>
      <w:bookmarkStart w:id="203" w:name="_Toc7794"/>
      <w:bookmarkStart w:id="204" w:name="_Toc10677"/>
      <w:bookmarkStart w:id="205" w:name="_Toc7686"/>
      <w:bookmarkStart w:id="206" w:name="_Toc5520"/>
      <w:bookmarkStart w:id="207" w:name="_Toc512351188"/>
      <w:r>
        <w:rPr>
          <w:rFonts w:hint="eastAsia" w:ascii="Times New Roman" w:hAnsi="Times New Roman" w:eastAsia="仿宋"/>
          <w:sz w:val="30"/>
          <w:szCs w:val="30"/>
        </w:rPr>
        <w:t>4</w:t>
      </w:r>
      <w:r>
        <w:rPr>
          <w:rFonts w:ascii="Times New Roman" w:hAnsi="Times New Roman" w:eastAsia="仿宋"/>
          <w:sz w:val="30"/>
          <w:szCs w:val="30"/>
        </w:rPr>
        <w:t>.</w:t>
      </w:r>
      <w:r>
        <w:rPr>
          <w:rFonts w:hint="eastAsia" w:ascii="Times New Roman" w:hAnsi="Times New Roman" w:eastAsia="仿宋"/>
          <w:sz w:val="30"/>
          <w:szCs w:val="30"/>
          <w:lang w:val="en-US" w:eastAsia="zh-CN"/>
        </w:rPr>
        <w:t>3</w:t>
      </w:r>
      <w:r>
        <w:rPr>
          <w:rFonts w:hint="eastAsia" w:ascii="Times New Roman" w:hAnsi="Times New Roman" w:eastAsia="仿宋"/>
          <w:sz w:val="30"/>
          <w:szCs w:val="30"/>
        </w:rPr>
        <w:t xml:space="preserve"> </w:t>
      </w:r>
      <w:r>
        <w:rPr>
          <w:rFonts w:ascii="Times New Roman" w:hAnsi="Times New Roman" w:eastAsia="仿宋"/>
          <w:sz w:val="30"/>
          <w:szCs w:val="30"/>
        </w:rPr>
        <w:t>采样方案</w:t>
      </w:r>
      <w:bookmarkEnd w:id="200"/>
      <w:bookmarkEnd w:id="202"/>
      <w:bookmarkEnd w:id="203"/>
      <w:bookmarkEnd w:id="204"/>
      <w:bookmarkEnd w:id="205"/>
      <w:bookmarkEnd w:id="206"/>
      <w:bookmarkEnd w:id="207"/>
    </w:p>
    <w:p>
      <w:pPr>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rPr>
        <w:t>根据《建设用地土壤污染状况调查技术导则》、《建设用地土壤污染风险管控和修复 监测技术导则》及《在产企业土壤和地下水自行监测技术指南》相关要求，结合水文地质情况、场区平面布置图及现状，以及2019年度厂区土壤及地下水环境质量自行监测情况，按照采样点布设原则和布设依据，本项目场地重点关注区域明确，各区域生产工艺及原辅材料详尽，故本项目土壤采样点采用判断布点法，即重点将生产区、储存区及装卸区、废水处置区、危废堆放区等易造成土壤和地下水污染的区域，作为本次调查的重点。同时结合功能区面积及《在产企业土壤及地下水自行监测技术指南（征求意见稿）》导则规定，即每个重点区域至少布设2~3个土壤监测点、每个重点设施至少布设1~2个土壤监测点、1个地下水监测点的原则。在项目场地内共布设23个土壤监测采样点（点位编号S1~S23），深度分别为0.2 m；10口地下水监测井（点位编号MW1~ MW10），深度均为6.0 m，其中在企业生产区厂区内布设17个土壤监测点位（S1-S17），8个地下水监测点位（MW1-MW8）；在码头区内布设6个土壤监测点位（S18-S23），2个地下水监测点位（MW9-MW10）。</w:t>
      </w:r>
    </w:p>
    <w:p>
      <w:pPr>
        <w:spacing w:line="360" w:lineRule="auto"/>
        <w:ind w:firstLine="480" w:firstLineChars="200"/>
        <w:rPr>
          <w:rFonts w:hint="eastAsia" w:ascii="Times New Roman" w:hAnsi="Times New Roman" w:eastAsia="仿宋"/>
          <w:sz w:val="24"/>
          <w:szCs w:val="24"/>
        </w:rPr>
      </w:pPr>
      <w:r>
        <w:rPr>
          <w:rFonts w:hint="eastAsia" w:ascii="Times New Roman" w:hAnsi="Times New Roman" w:eastAsia="仿宋"/>
          <w:sz w:val="24"/>
          <w:szCs w:val="24"/>
        </w:rPr>
        <w:t>此外，在厂区内码头区北侧距离原熔硫装置区约130 m 绿地处（点位编号BG，坐标为E 120.45546318°，N 32.010616179°），布设1个土壤参照点（深度</w:t>
      </w:r>
      <w:r>
        <w:rPr>
          <w:rFonts w:hint="eastAsia" w:ascii="Times New Roman" w:hAnsi="Times New Roman" w:eastAsia="仿宋"/>
          <w:sz w:val="24"/>
          <w:szCs w:val="24"/>
          <w:lang w:val="en-US" w:eastAsia="zh-CN"/>
        </w:rPr>
        <w:t>0.2</w:t>
      </w:r>
      <w:r>
        <w:rPr>
          <w:rFonts w:hint="eastAsia" w:ascii="Times New Roman" w:hAnsi="Times New Roman" w:eastAsia="仿宋"/>
          <w:sz w:val="24"/>
          <w:szCs w:val="24"/>
        </w:rPr>
        <w:t xml:space="preserve"> m）和1个地下水参照点（深度6.0 m），该处是长期未经外界干扰的裸露土壤。场地样品采集统计表见表</w:t>
      </w:r>
      <w:r>
        <w:rPr>
          <w:rFonts w:hint="eastAsia" w:ascii="Times New Roman" w:hAnsi="Times New Roman" w:eastAsia="仿宋"/>
          <w:sz w:val="24"/>
          <w:szCs w:val="24"/>
          <w:lang w:val="en-US" w:eastAsia="zh-CN"/>
        </w:rPr>
        <w:t>4</w:t>
      </w:r>
      <w:r>
        <w:rPr>
          <w:rFonts w:hint="eastAsia" w:ascii="Times New Roman" w:hAnsi="Times New Roman" w:eastAsia="仿宋"/>
          <w:sz w:val="24"/>
          <w:szCs w:val="24"/>
        </w:rPr>
        <w:t>-1，监测点位布设见图</w:t>
      </w:r>
      <w:r>
        <w:rPr>
          <w:rFonts w:hint="eastAsia" w:ascii="Times New Roman" w:hAnsi="Times New Roman" w:eastAsia="仿宋"/>
          <w:sz w:val="24"/>
          <w:szCs w:val="24"/>
          <w:lang w:val="en-US" w:eastAsia="zh-CN"/>
        </w:rPr>
        <w:t>4-</w:t>
      </w:r>
      <w:r>
        <w:rPr>
          <w:rFonts w:hint="eastAsia" w:ascii="Times New Roman" w:hAnsi="Times New Roman" w:eastAsia="仿宋"/>
          <w:sz w:val="24"/>
          <w:szCs w:val="24"/>
        </w:rPr>
        <w:t>1、</w:t>
      </w:r>
      <w:r>
        <w:rPr>
          <w:rFonts w:hint="eastAsia" w:ascii="Times New Roman" w:hAnsi="Times New Roman" w:eastAsia="仿宋"/>
          <w:sz w:val="24"/>
          <w:szCs w:val="24"/>
          <w:lang w:val="en-US" w:eastAsia="zh-CN"/>
        </w:rPr>
        <w:t>4-</w:t>
      </w:r>
      <w:r>
        <w:rPr>
          <w:rFonts w:hint="eastAsia" w:ascii="Times New Roman" w:hAnsi="Times New Roman" w:eastAsia="仿宋"/>
          <w:sz w:val="24"/>
          <w:szCs w:val="24"/>
        </w:rPr>
        <w:t>1a和</w:t>
      </w:r>
      <w:r>
        <w:rPr>
          <w:rFonts w:hint="eastAsia" w:ascii="Times New Roman" w:hAnsi="Times New Roman" w:eastAsia="仿宋"/>
          <w:sz w:val="24"/>
          <w:szCs w:val="24"/>
          <w:lang w:val="en-US" w:eastAsia="zh-CN"/>
        </w:rPr>
        <w:t>4-</w:t>
      </w:r>
      <w:r>
        <w:rPr>
          <w:rFonts w:hint="eastAsia" w:ascii="Times New Roman" w:hAnsi="Times New Roman" w:eastAsia="仿宋"/>
          <w:sz w:val="24"/>
          <w:szCs w:val="24"/>
        </w:rPr>
        <w:t>1b，土壤及地下水采样点信息汇总见表</w:t>
      </w:r>
      <w:r>
        <w:rPr>
          <w:rFonts w:hint="eastAsia" w:ascii="Times New Roman" w:hAnsi="Times New Roman" w:eastAsia="仿宋"/>
          <w:sz w:val="24"/>
          <w:szCs w:val="24"/>
          <w:lang w:val="en-US" w:eastAsia="zh-CN"/>
        </w:rPr>
        <w:t>4</w:t>
      </w:r>
      <w:r>
        <w:rPr>
          <w:rFonts w:hint="eastAsia" w:ascii="Times New Roman" w:hAnsi="Times New Roman" w:eastAsia="仿宋"/>
          <w:sz w:val="24"/>
          <w:szCs w:val="24"/>
        </w:rPr>
        <w:t>-2。</w:t>
      </w:r>
    </w:p>
    <w:p>
      <w:pPr>
        <w:spacing w:line="360" w:lineRule="auto"/>
        <w:ind w:firstLine="480" w:firstLineChars="200"/>
        <w:rPr>
          <w:rFonts w:hint="eastAsia" w:ascii="Times New Roman" w:hAnsi="Times New Roman" w:eastAsia="仿宋"/>
          <w:sz w:val="24"/>
          <w:szCs w:val="24"/>
        </w:rPr>
      </w:pPr>
    </w:p>
    <w:p>
      <w:pPr>
        <w:spacing w:line="360" w:lineRule="auto"/>
        <w:ind w:firstLine="480" w:firstLineChars="200"/>
        <w:rPr>
          <w:rFonts w:hint="eastAsia" w:ascii="Times New Roman" w:hAnsi="Times New Roman" w:eastAsia="仿宋"/>
          <w:sz w:val="24"/>
          <w:szCs w:val="24"/>
        </w:rPr>
      </w:pPr>
    </w:p>
    <w:p>
      <w:pPr>
        <w:jc w:val="center"/>
        <w:rPr>
          <w:rFonts w:eastAsia="仿宋" w:cs="Times New Roman"/>
          <w:b/>
        </w:rPr>
      </w:pPr>
      <w:r>
        <w:rPr>
          <w:rFonts w:eastAsia="仿宋" w:cs="Times New Roman"/>
          <w:b/>
        </w:rPr>
        <w:t>表</w:t>
      </w:r>
      <w:r>
        <w:rPr>
          <w:rFonts w:hint="eastAsia" w:eastAsia="仿宋" w:cs="Times New Roman"/>
          <w:b/>
          <w:lang w:val="en-US" w:eastAsia="zh-CN"/>
        </w:rPr>
        <w:t>4</w:t>
      </w:r>
      <w:r>
        <w:rPr>
          <w:rFonts w:eastAsia="仿宋" w:cs="Times New Roman"/>
          <w:b/>
        </w:rPr>
        <w:t>-1</w:t>
      </w:r>
      <w:r>
        <w:rPr>
          <w:rFonts w:hint="eastAsia" w:eastAsia="仿宋" w:cs="Times New Roman"/>
          <w:b/>
        </w:rPr>
        <w:t>场地样品采集统计表</w:t>
      </w:r>
    </w:p>
    <w:tbl>
      <w:tblPr>
        <w:tblStyle w:val="39"/>
        <w:tblW w:w="5000" w:type="pct"/>
        <w:jc w:val="center"/>
        <w:tblBorders>
          <w:top w:val="single" w:color="auto" w:sz="18" w:space="0"/>
          <w:left w:val="none" w:color="auto" w:sz="0" w:space="0"/>
          <w:bottom w:val="single" w:color="auto" w:sz="18" w:space="0"/>
          <w:right w:val="none" w:color="auto" w:sz="0" w:space="0"/>
          <w:insideH w:val="double" w:color="auto" w:sz="4" w:space="0"/>
          <w:insideV w:val="none" w:color="auto" w:sz="0" w:space="0"/>
        </w:tblBorders>
        <w:tblLayout w:type="autofit"/>
        <w:tblCellMar>
          <w:top w:w="0" w:type="dxa"/>
          <w:left w:w="108" w:type="dxa"/>
          <w:bottom w:w="0" w:type="dxa"/>
          <w:right w:w="108" w:type="dxa"/>
        </w:tblCellMar>
      </w:tblPr>
      <w:tblGrid>
        <w:gridCol w:w="2419"/>
        <w:gridCol w:w="2419"/>
        <w:gridCol w:w="2420"/>
        <w:gridCol w:w="424"/>
        <w:gridCol w:w="1996"/>
      </w:tblGrid>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5000" w:type="pct"/>
            <w:gridSpan w:val="5"/>
            <w:vAlign w:val="center"/>
          </w:tcPr>
          <w:p>
            <w:pPr>
              <w:pStyle w:val="57"/>
              <w:adjustRightInd/>
              <w:jc w:val="center"/>
              <w:rPr>
                <w:rFonts w:hint="default" w:ascii="Times New Roman" w:hAnsi="Times New Roman" w:eastAsia="仿宋"/>
                <w:b/>
                <w:color w:val="auto"/>
                <w:kern w:val="2"/>
                <w:szCs w:val="24"/>
              </w:rPr>
            </w:pPr>
            <w:r>
              <w:rPr>
                <w:rFonts w:hint="default" w:ascii="Times New Roman" w:hAnsi="Times New Roman" w:eastAsia="仿宋"/>
                <w:b/>
                <w:color w:val="auto"/>
                <w:kern w:val="2"/>
                <w:szCs w:val="24"/>
              </w:rPr>
              <w:t>土壤</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监测深度（m）</w:t>
            </w:r>
          </w:p>
        </w:tc>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监测点位数（个）</w:t>
            </w:r>
          </w:p>
        </w:tc>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取样方式</w:t>
            </w:r>
          </w:p>
        </w:tc>
        <w:tc>
          <w:tcPr>
            <w:tcW w:w="1250" w:type="pct"/>
            <w:gridSpan w:val="2"/>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送检样品</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0.2</w:t>
            </w:r>
          </w:p>
        </w:tc>
        <w:tc>
          <w:tcPr>
            <w:tcW w:w="1250" w:type="pct"/>
            <w:vAlign w:val="center"/>
          </w:tcPr>
          <w:p>
            <w:pPr>
              <w:pStyle w:val="57"/>
              <w:adjustRightInd/>
              <w:jc w:val="center"/>
              <w:rPr>
                <w:rFonts w:hint="default" w:ascii="Times New Roman" w:hAnsi="Times New Roman" w:eastAsia="仿宋"/>
                <w:color w:val="auto"/>
                <w:kern w:val="2"/>
                <w:szCs w:val="24"/>
                <w:lang w:val="en-US" w:eastAsia="zh-CN"/>
              </w:rPr>
            </w:pPr>
            <w:r>
              <w:rPr>
                <w:rFonts w:hint="eastAsia" w:ascii="Times New Roman" w:hAnsi="Times New Roman" w:eastAsia="仿宋"/>
                <w:color w:val="auto"/>
                <w:kern w:val="2"/>
                <w:szCs w:val="24"/>
                <w:lang w:val="en-US" w:eastAsia="zh-CN"/>
              </w:rPr>
              <w:t>23</w:t>
            </w:r>
          </w:p>
        </w:tc>
        <w:tc>
          <w:tcPr>
            <w:tcW w:w="1250" w:type="pct"/>
            <w:vAlign w:val="center"/>
          </w:tcPr>
          <w:p>
            <w:pPr>
              <w:pStyle w:val="57"/>
              <w:adjustRightInd/>
              <w:jc w:val="center"/>
              <w:rPr>
                <w:rFonts w:hint="default" w:ascii="Times New Roman" w:hAnsi="Times New Roman" w:eastAsia="仿宋"/>
                <w:color w:val="auto"/>
                <w:kern w:val="2"/>
                <w:szCs w:val="24"/>
              </w:rPr>
            </w:pPr>
            <w:r>
              <w:rPr>
                <w:rFonts w:hint="eastAsia" w:ascii="Times New Roman" w:hAnsi="Times New Roman" w:eastAsia="仿宋"/>
                <w:color w:val="auto"/>
                <w:kern w:val="2"/>
                <w:szCs w:val="24"/>
                <w:lang w:val="en-US" w:eastAsia="zh-CN"/>
              </w:rPr>
              <w:t>人工手钻</w:t>
            </w:r>
            <w:r>
              <w:rPr>
                <w:rFonts w:ascii="Times New Roman" w:hAnsi="Times New Roman" w:eastAsia="仿宋"/>
                <w:color w:val="auto"/>
                <w:kern w:val="2"/>
                <w:szCs w:val="24"/>
              </w:rPr>
              <w:t>取样</w:t>
            </w:r>
          </w:p>
        </w:tc>
        <w:tc>
          <w:tcPr>
            <w:tcW w:w="1250" w:type="pct"/>
            <w:gridSpan w:val="2"/>
            <w:vAlign w:val="center"/>
          </w:tcPr>
          <w:p>
            <w:pPr>
              <w:pStyle w:val="57"/>
              <w:adjustRightInd/>
              <w:jc w:val="center"/>
              <w:rPr>
                <w:rFonts w:hint="default" w:ascii="Times New Roman" w:hAnsi="Times New Roman" w:eastAsia="仿宋"/>
                <w:color w:val="auto"/>
                <w:kern w:val="2"/>
                <w:szCs w:val="24"/>
                <w:lang w:val="en-US" w:eastAsia="zh-CN"/>
              </w:rPr>
            </w:pPr>
            <w:r>
              <w:rPr>
                <w:rFonts w:hint="eastAsia" w:ascii="Times New Roman" w:hAnsi="Times New Roman" w:eastAsia="仿宋"/>
                <w:color w:val="auto"/>
                <w:kern w:val="2"/>
                <w:szCs w:val="24"/>
                <w:lang w:val="en-US" w:eastAsia="zh-CN"/>
              </w:rPr>
              <w:t>23</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总计</w:t>
            </w:r>
          </w:p>
        </w:tc>
        <w:tc>
          <w:tcPr>
            <w:tcW w:w="1250" w:type="pct"/>
            <w:vAlign w:val="center"/>
          </w:tcPr>
          <w:p>
            <w:pPr>
              <w:pStyle w:val="57"/>
              <w:adjustRightInd/>
              <w:jc w:val="center"/>
              <w:rPr>
                <w:rFonts w:hint="eastAsia" w:ascii="Times New Roman" w:hAnsi="Times New Roman" w:eastAsia="仿宋"/>
                <w:color w:val="auto"/>
                <w:kern w:val="2"/>
                <w:szCs w:val="24"/>
                <w:lang w:eastAsia="zh-CN"/>
              </w:rPr>
            </w:pPr>
            <w:r>
              <w:rPr>
                <w:rFonts w:ascii="Times New Roman" w:hAnsi="Times New Roman" w:eastAsia="仿宋"/>
                <w:color w:val="auto"/>
                <w:kern w:val="2"/>
                <w:szCs w:val="24"/>
              </w:rPr>
              <w:t>2</w:t>
            </w:r>
            <w:r>
              <w:rPr>
                <w:rFonts w:hint="eastAsia" w:ascii="Times New Roman" w:hAnsi="Times New Roman" w:eastAsia="仿宋"/>
                <w:color w:val="auto"/>
                <w:kern w:val="2"/>
                <w:szCs w:val="24"/>
                <w:lang w:val="en-US" w:eastAsia="zh-CN"/>
              </w:rPr>
              <w:t>3</w:t>
            </w:r>
          </w:p>
        </w:tc>
        <w:tc>
          <w:tcPr>
            <w:tcW w:w="1250" w:type="pct"/>
            <w:vAlign w:val="center"/>
          </w:tcPr>
          <w:p>
            <w:pPr>
              <w:pStyle w:val="57"/>
              <w:adjustRightInd/>
              <w:jc w:val="center"/>
              <w:rPr>
                <w:rFonts w:hint="default" w:ascii="Times New Roman" w:hAnsi="Times New Roman" w:eastAsia="仿宋"/>
                <w:color w:val="auto"/>
                <w:kern w:val="2"/>
                <w:szCs w:val="24"/>
              </w:rPr>
            </w:pPr>
            <w:r>
              <w:rPr>
                <w:rFonts w:hint="eastAsia" w:ascii="Times New Roman" w:hAnsi="Times New Roman" w:eastAsia="仿宋"/>
                <w:color w:val="auto"/>
                <w:kern w:val="2"/>
                <w:szCs w:val="24"/>
                <w:lang w:val="en-US" w:eastAsia="zh-CN"/>
              </w:rPr>
              <w:t>人工手钻</w:t>
            </w:r>
            <w:r>
              <w:rPr>
                <w:rFonts w:ascii="Times New Roman" w:hAnsi="Times New Roman" w:eastAsia="仿宋"/>
                <w:color w:val="auto"/>
                <w:kern w:val="2"/>
                <w:szCs w:val="24"/>
              </w:rPr>
              <w:t>取样</w:t>
            </w:r>
          </w:p>
        </w:tc>
        <w:tc>
          <w:tcPr>
            <w:tcW w:w="1250" w:type="pct"/>
            <w:gridSpan w:val="2"/>
            <w:vAlign w:val="center"/>
          </w:tcPr>
          <w:p>
            <w:pPr>
              <w:pStyle w:val="57"/>
              <w:adjustRightInd/>
              <w:jc w:val="center"/>
              <w:rPr>
                <w:rFonts w:hint="default" w:ascii="Times New Roman" w:hAnsi="Times New Roman" w:eastAsia="仿宋"/>
                <w:color w:val="auto"/>
                <w:kern w:val="2"/>
                <w:szCs w:val="24"/>
                <w:lang w:val="en-US" w:eastAsia="zh-CN"/>
              </w:rPr>
            </w:pPr>
            <w:r>
              <w:rPr>
                <w:rFonts w:hint="eastAsia" w:ascii="Times New Roman" w:hAnsi="Times New Roman" w:eastAsia="仿宋"/>
                <w:color w:val="auto"/>
                <w:kern w:val="2"/>
                <w:szCs w:val="24"/>
                <w:lang w:val="en-US" w:eastAsia="zh-CN"/>
              </w:rPr>
              <w:t>23</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5000" w:type="pct"/>
            <w:gridSpan w:val="5"/>
            <w:vAlign w:val="center"/>
          </w:tcPr>
          <w:p>
            <w:pPr>
              <w:pStyle w:val="57"/>
              <w:adjustRightInd/>
              <w:jc w:val="center"/>
              <w:rPr>
                <w:rFonts w:hint="default" w:ascii="Times New Roman" w:hAnsi="Times New Roman" w:eastAsia="仿宋"/>
                <w:b/>
                <w:color w:val="auto"/>
                <w:kern w:val="2"/>
                <w:szCs w:val="24"/>
              </w:rPr>
            </w:pPr>
            <w:r>
              <w:rPr>
                <w:rFonts w:ascii="Times New Roman" w:hAnsi="Times New Roman" w:eastAsia="仿宋"/>
                <w:b/>
                <w:color w:val="auto"/>
                <w:kern w:val="2"/>
                <w:szCs w:val="24"/>
              </w:rPr>
              <w:t>地下水</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监测井深度（m）</w:t>
            </w:r>
          </w:p>
        </w:tc>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监测井数（口）</w:t>
            </w:r>
          </w:p>
        </w:tc>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取样方式</w:t>
            </w:r>
          </w:p>
        </w:tc>
        <w:tc>
          <w:tcPr>
            <w:tcW w:w="1250" w:type="pct"/>
            <w:gridSpan w:val="2"/>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送检样品</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6</w:t>
            </w:r>
          </w:p>
        </w:tc>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10</w:t>
            </w:r>
          </w:p>
        </w:tc>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Geoprobe中空螺旋钻建井</w:t>
            </w:r>
          </w:p>
        </w:tc>
        <w:tc>
          <w:tcPr>
            <w:tcW w:w="1250" w:type="pct"/>
            <w:gridSpan w:val="2"/>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10</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总计</w:t>
            </w:r>
          </w:p>
        </w:tc>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10</w:t>
            </w:r>
          </w:p>
        </w:tc>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Geoprobe中空螺旋钻建井</w:t>
            </w:r>
          </w:p>
        </w:tc>
        <w:tc>
          <w:tcPr>
            <w:tcW w:w="1250" w:type="pct"/>
            <w:gridSpan w:val="2"/>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10</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5000" w:type="pct"/>
            <w:gridSpan w:val="5"/>
            <w:vAlign w:val="center"/>
          </w:tcPr>
          <w:p>
            <w:pPr>
              <w:pStyle w:val="57"/>
              <w:adjustRightInd/>
              <w:jc w:val="center"/>
              <w:rPr>
                <w:rFonts w:hint="default" w:ascii="Times New Roman" w:hAnsi="Times New Roman" w:eastAsia="仿宋"/>
                <w:b/>
                <w:color w:val="auto"/>
                <w:kern w:val="2"/>
                <w:szCs w:val="24"/>
              </w:rPr>
            </w:pPr>
            <w:r>
              <w:rPr>
                <w:rFonts w:ascii="Times New Roman" w:hAnsi="Times New Roman" w:eastAsia="仿宋"/>
                <w:b/>
                <w:color w:val="auto"/>
                <w:kern w:val="2"/>
                <w:szCs w:val="24"/>
              </w:rPr>
              <w:t>参照点</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1250" w:type="pct"/>
            <w:vAlign w:val="center"/>
          </w:tcPr>
          <w:p>
            <w:pPr>
              <w:pStyle w:val="57"/>
              <w:adjustRightInd/>
              <w:jc w:val="center"/>
              <w:rPr>
                <w:rFonts w:hint="default" w:ascii="Times New Roman" w:hAnsi="Times New Roman" w:eastAsia="仿宋"/>
                <w:color w:val="auto"/>
                <w:kern w:val="2"/>
                <w:szCs w:val="24"/>
              </w:rPr>
            </w:pPr>
            <w:r>
              <w:rPr>
                <w:rFonts w:hint="eastAsia" w:ascii="Times New Roman" w:hAnsi="Times New Roman" w:eastAsia="仿宋"/>
                <w:color w:val="auto"/>
                <w:kern w:val="2"/>
                <w:szCs w:val="24"/>
                <w:lang w:val="en-US" w:eastAsia="zh-CN"/>
              </w:rPr>
              <w:t>0.2</w:t>
            </w:r>
            <w:r>
              <w:rPr>
                <w:rFonts w:ascii="Times New Roman" w:hAnsi="Times New Roman" w:eastAsia="仿宋"/>
                <w:color w:val="auto"/>
                <w:kern w:val="2"/>
                <w:szCs w:val="24"/>
              </w:rPr>
              <w:t>m土壤</w:t>
            </w:r>
          </w:p>
        </w:tc>
        <w:tc>
          <w:tcPr>
            <w:tcW w:w="2500" w:type="pct"/>
            <w:gridSpan w:val="2"/>
            <w:vAlign w:val="center"/>
          </w:tcPr>
          <w:p>
            <w:pPr>
              <w:pStyle w:val="57"/>
              <w:adjustRightInd/>
              <w:jc w:val="center"/>
              <w:rPr>
                <w:rFonts w:hint="default" w:ascii="Times New Roman" w:hAnsi="Times New Roman" w:eastAsia="仿宋"/>
                <w:color w:val="auto"/>
                <w:kern w:val="2"/>
                <w:szCs w:val="24"/>
              </w:rPr>
            </w:pPr>
            <w:r>
              <w:rPr>
                <w:rFonts w:hint="eastAsia" w:ascii="Times New Roman" w:hAnsi="Times New Roman" w:eastAsia="仿宋"/>
                <w:color w:val="auto"/>
                <w:kern w:val="2"/>
                <w:szCs w:val="24"/>
                <w:lang w:val="en-US" w:eastAsia="zh-CN"/>
              </w:rPr>
              <w:t>人工手钻</w:t>
            </w:r>
            <w:r>
              <w:rPr>
                <w:rFonts w:ascii="Times New Roman" w:hAnsi="Times New Roman" w:eastAsia="仿宋"/>
                <w:color w:val="auto"/>
                <w:kern w:val="2"/>
                <w:szCs w:val="24"/>
              </w:rPr>
              <w:t>取样</w:t>
            </w:r>
          </w:p>
        </w:tc>
        <w:tc>
          <w:tcPr>
            <w:tcW w:w="1250" w:type="pct"/>
            <w:gridSpan w:val="2"/>
            <w:vAlign w:val="center"/>
          </w:tcPr>
          <w:p>
            <w:pPr>
              <w:pStyle w:val="57"/>
              <w:adjustRightInd/>
              <w:jc w:val="center"/>
              <w:rPr>
                <w:rFonts w:hint="default" w:ascii="Times New Roman" w:hAnsi="Times New Roman" w:eastAsia="仿宋"/>
                <w:color w:val="auto"/>
                <w:kern w:val="2"/>
                <w:szCs w:val="24"/>
              </w:rPr>
            </w:pPr>
            <w:r>
              <w:rPr>
                <w:rFonts w:hint="eastAsia" w:ascii="Times New Roman" w:hAnsi="Times New Roman" w:eastAsia="仿宋"/>
                <w:color w:val="auto"/>
                <w:kern w:val="2"/>
                <w:szCs w:val="24"/>
                <w:lang w:val="en-US" w:eastAsia="zh-CN"/>
              </w:rPr>
              <w:t>1</w:t>
            </w:r>
            <w:r>
              <w:rPr>
                <w:rFonts w:ascii="Times New Roman" w:hAnsi="Times New Roman" w:eastAsia="仿宋"/>
                <w:color w:val="auto"/>
                <w:kern w:val="2"/>
                <w:szCs w:val="24"/>
              </w:rPr>
              <w:t>个参照土样</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6 m监测井</w:t>
            </w:r>
          </w:p>
        </w:tc>
        <w:tc>
          <w:tcPr>
            <w:tcW w:w="2500" w:type="pct"/>
            <w:gridSpan w:val="2"/>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Geoprobe中空螺旋钻建井</w:t>
            </w:r>
          </w:p>
        </w:tc>
        <w:tc>
          <w:tcPr>
            <w:tcW w:w="1250" w:type="pct"/>
            <w:gridSpan w:val="2"/>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1个参照水样</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5000" w:type="pct"/>
            <w:gridSpan w:val="5"/>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b/>
                <w:color w:val="auto"/>
                <w:kern w:val="2"/>
                <w:szCs w:val="24"/>
              </w:rPr>
              <w:t>平行样</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125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土壤平行样</w:t>
            </w:r>
          </w:p>
        </w:tc>
        <w:tc>
          <w:tcPr>
            <w:tcW w:w="1250" w:type="pct"/>
            <w:vAlign w:val="center"/>
          </w:tcPr>
          <w:p>
            <w:pPr>
              <w:pStyle w:val="57"/>
              <w:adjustRightInd/>
              <w:ind w:firstLine="960" w:firstLineChars="400"/>
              <w:jc w:val="both"/>
              <w:rPr>
                <w:rFonts w:hint="default" w:ascii="Times New Roman" w:hAnsi="Times New Roman" w:eastAsia="仿宋"/>
                <w:color w:val="auto"/>
                <w:kern w:val="2"/>
                <w:szCs w:val="24"/>
              </w:rPr>
            </w:pPr>
            <w:r>
              <w:rPr>
                <w:rFonts w:ascii="Times New Roman" w:hAnsi="Times New Roman" w:eastAsia="仿宋"/>
                <w:color w:val="auto"/>
                <w:kern w:val="2"/>
                <w:szCs w:val="24"/>
              </w:rPr>
              <w:t>7</w:t>
            </w:r>
          </w:p>
        </w:tc>
        <w:tc>
          <w:tcPr>
            <w:tcW w:w="1469" w:type="pct"/>
            <w:gridSpan w:val="2"/>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 xml:space="preserve">      地下水平行样</w:t>
            </w:r>
          </w:p>
        </w:tc>
        <w:tc>
          <w:tcPr>
            <w:tcW w:w="1030" w:type="pct"/>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 xml:space="preserve"> 2</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5000" w:type="pct"/>
            <w:gridSpan w:val="5"/>
            <w:vAlign w:val="center"/>
          </w:tcPr>
          <w:p>
            <w:pPr>
              <w:pStyle w:val="57"/>
              <w:adjustRightInd/>
              <w:jc w:val="center"/>
              <w:rPr>
                <w:rFonts w:hint="default" w:ascii="Times New Roman" w:hAnsi="Times New Roman" w:eastAsia="仿宋"/>
                <w:b/>
                <w:color w:val="auto"/>
                <w:kern w:val="2"/>
                <w:szCs w:val="24"/>
              </w:rPr>
            </w:pPr>
            <w:r>
              <w:rPr>
                <w:rFonts w:ascii="Times New Roman" w:hAnsi="Times New Roman" w:eastAsia="仿宋"/>
                <w:b/>
                <w:color w:val="auto"/>
                <w:kern w:val="2"/>
                <w:szCs w:val="24"/>
              </w:rPr>
              <w:t>总样品数</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2500" w:type="pct"/>
            <w:gridSpan w:val="2"/>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土壤</w:t>
            </w:r>
          </w:p>
        </w:tc>
        <w:tc>
          <w:tcPr>
            <w:tcW w:w="2500" w:type="pct"/>
            <w:gridSpan w:val="3"/>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地下水</w:t>
            </w:r>
          </w:p>
        </w:tc>
      </w:tr>
      <w:tr>
        <w:tblPrEx>
          <w:tblBorders>
            <w:top w:val="single" w:color="auto" w:sz="18" w:space="0"/>
            <w:left w:val="none" w:color="auto" w:sz="0" w:space="0"/>
            <w:bottom w:val="single" w:color="auto" w:sz="18" w:space="0"/>
            <w:right w:val="none" w:color="auto" w:sz="0" w:space="0"/>
            <w:insideH w:val="double" w:color="auto" w:sz="4" w:space="0"/>
            <w:insideV w:val="none" w:color="auto" w:sz="0" w:space="0"/>
          </w:tblBorders>
          <w:tblCellMar>
            <w:top w:w="0" w:type="dxa"/>
            <w:left w:w="108" w:type="dxa"/>
            <w:bottom w:w="0" w:type="dxa"/>
            <w:right w:w="108" w:type="dxa"/>
          </w:tblCellMar>
        </w:tblPrEx>
        <w:trPr>
          <w:trHeight w:val="397" w:hRule="atLeast"/>
          <w:jc w:val="center"/>
        </w:trPr>
        <w:tc>
          <w:tcPr>
            <w:tcW w:w="2500" w:type="pct"/>
            <w:gridSpan w:val="2"/>
            <w:vAlign w:val="center"/>
          </w:tcPr>
          <w:p>
            <w:pPr>
              <w:pStyle w:val="57"/>
              <w:adjustRightInd/>
              <w:jc w:val="center"/>
              <w:rPr>
                <w:rFonts w:hint="default" w:ascii="Times New Roman" w:hAnsi="Times New Roman" w:eastAsia="仿宋"/>
                <w:color w:val="auto"/>
                <w:kern w:val="2"/>
                <w:szCs w:val="24"/>
                <w:lang w:val="en-US" w:eastAsia="zh-CN"/>
              </w:rPr>
            </w:pPr>
            <w:r>
              <w:rPr>
                <w:rFonts w:hint="eastAsia" w:ascii="Times New Roman" w:hAnsi="Times New Roman" w:eastAsia="仿宋"/>
                <w:color w:val="auto"/>
                <w:kern w:val="2"/>
                <w:szCs w:val="24"/>
                <w:lang w:val="en-US" w:eastAsia="zh-CN"/>
              </w:rPr>
              <w:t>31</w:t>
            </w:r>
          </w:p>
        </w:tc>
        <w:tc>
          <w:tcPr>
            <w:tcW w:w="2500" w:type="pct"/>
            <w:gridSpan w:val="3"/>
            <w:vAlign w:val="center"/>
          </w:tcPr>
          <w:p>
            <w:pPr>
              <w:pStyle w:val="57"/>
              <w:adjustRightInd/>
              <w:jc w:val="center"/>
              <w:rPr>
                <w:rFonts w:hint="default" w:ascii="Times New Roman" w:hAnsi="Times New Roman" w:eastAsia="仿宋"/>
                <w:color w:val="auto"/>
                <w:kern w:val="2"/>
                <w:szCs w:val="24"/>
              </w:rPr>
            </w:pPr>
            <w:r>
              <w:rPr>
                <w:rFonts w:ascii="Times New Roman" w:hAnsi="Times New Roman" w:eastAsia="仿宋"/>
                <w:color w:val="auto"/>
                <w:kern w:val="2"/>
                <w:szCs w:val="24"/>
              </w:rPr>
              <w:t>13</w:t>
            </w:r>
          </w:p>
        </w:tc>
      </w:tr>
    </w:tbl>
    <w:p>
      <w:pPr>
        <w:spacing w:line="360" w:lineRule="auto"/>
        <w:rPr>
          <w:rFonts w:hint="eastAsia" w:ascii="Times New Roman" w:hAnsi="Times New Roman" w:eastAsia="仿宋"/>
          <w:sz w:val="24"/>
          <w:szCs w:val="24"/>
        </w:rPr>
      </w:pPr>
    </w:p>
    <w:p>
      <w:pPr>
        <w:rPr>
          <w:rFonts w:ascii="Times New Roman" w:hAnsi="Times New Roman" w:eastAsia="仿宋"/>
          <w:sz w:val="28"/>
          <w:szCs w:val="28"/>
        </w:rPr>
      </w:pPr>
    </w:p>
    <w:p>
      <w:pPr>
        <w:rPr>
          <w:rFonts w:ascii="Times New Roman" w:hAnsi="Times New Roman" w:eastAsia="仿宋"/>
          <w:sz w:val="28"/>
          <w:szCs w:val="28"/>
        </w:rPr>
        <w:sectPr>
          <w:pgSz w:w="11906" w:h="16838"/>
          <w:pgMar w:top="1440" w:right="1080" w:bottom="1440" w:left="1080" w:header="851" w:footer="992" w:gutter="284"/>
          <w:pgNumType w:fmt="decimal"/>
          <w:cols w:space="720" w:num="1"/>
          <w:docGrid w:type="lines" w:linePitch="312" w:charSpace="0"/>
        </w:sectPr>
      </w:pPr>
      <w:r>
        <w:rPr>
          <w:rFonts w:hint="eastAsia" w:ascii="Times New Roman" w:hAnsi="Times New Roman" w:eastAsia="仿宋"/>
          <w:sz w:val="28"/>
          <w:szCs w:val="28"/>
        </w:rPr>
        <w:t xml:space="preserve">           </w:t>
      </w:r>
    </w:p>
    <w:p>
      <w:pPr>
        <w:spacing w:before="163" w:beforeLines="50"/>
        <w:jc w:val="center"/>
      </w:pPr>
      <w:bookmarkStart w:id="208" w:name="_Toc498199437"/>
      <w:bookmarkStart w:id="209" w:name="_Toc9052"/>
      <w:bookmarkStart w:id="210" w:name="_Toc434353312"/>
      <w:bookmarkStart w:id="211" w:name="_Toc27966"/>
      <w:bookmarkStart w:id="212" w:name="_Toc12249"/>
      <w:bookmarkStart w:id="213" w:name="_Toc427516420"/>
      <w:bookmarkStart w:id="214" w:name="_Toc3363"/>
      <w:bookmarkStart w:id="215" w:name="_Toc434353321"/>
      <w:r>
        <w:drawing>
          <wp:inline distT="0" distB="0" distL="0" distR="0">
            <wp:extent cx="5975985" cy="5351780"/>
            <wp:effectExtent l="0" t="0" r="5715" b="1270"/>
            <wp:docPr id="512" name="图片 512" descr="E:\国宇-文件编制\编制排查方案--2109.8.13\6 双狮（张家港）精细化工\方案布点图2-201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descr="E:\国宇-文件编制\编制排查方案--2109.8.13\6 双狮（张家港）精细化工\方案布点图2-2019.1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76000" cy="5351846"/>
                    </a:xfrm>
                    <a:prstGeom prst="rect">
                      <a:avLst/>
                    </a:prstGeom>
                    <a:noFill/>
                    <a:ln>
                      <a:noFill/>
                    </a:ln>
                  </pic:spPr>
                </pic:pic>
              </a:graphicData>
            </a:graphic>
          </wp:inline>
        </w:drawing>
      </w:r>
    </w:p>
    <w:p>
      <w:pPr>
        <w:spacing w:after="163" w:afterLines="50"/>
        <w:jc w:val="center"/>
        <w:rPr>
          <w:rFonts w:hint="eastAsia" w:ascii="仿宋" w:hAnsi="仿宋" w:eastAsia="仿宋" w:cs="仿宋"/>
          <w:b/>
          <w:bCs/>
          <w:sz w:val="21"/>
          <w:szCs w:val="21"/>
        </w:rPr>
      </w:pPr>
      <w:r>
        <w:rPr>
          <w:rFonts w:hint="eastAsia" w:ascii="仿宋" w:hAnsi="仿宋" w:eastAsia="仿宋" w:cs="仿宋"/>
          <w:b/>
          <w:bCs/>
          <w:sz w:val="21"/>
          <w:szCs w:val="21"/>
        </w:rPr>
        <w:t>图</w:t>
      </w:r>
      <w:r>
        <w:rPr>
          <w:rFonts w:hint="eastAsia" w:ascii="仿宋" w:hAnsi="仿宋" w:eastAsia="仿宋" w:cs="仿宋"/>
          <w:b/>
          <w:bCs/>
          <w:sz w:val="21"/>
          <w:szCs w:val="21"/>
          <w:lang w:val="en-US" w:eastAsia="zh-CN"/>
        </w:rPr>
        <w:t>4-</w:t>
      </w:r>
      <w:r>
        <w:rPr>
          <w:rFonts w:hint="eastAsia" w:ascii="仿宋" w:hAnsi="仿宋" w:eastAsia="仿宋" w:cs="仿宋"/>
          <w:b/>
          <w:bCs/>
          <w:sz w:val="21"/>
          <w:szCs w:val="21"/>
        </w:rPr>
        <w:t>1 项目厂区场地布点总示意图</w:t>
      </w:r>
    </w:p>
    <w:p>
      <w:pPr>
        <w:jc w:val="center"/>
      </w:pPr>
    </w:p>
    <w:p>
      <w:pPr>
        <w:jc w:val="center"/>
      </w:pPr>
    </w:p>
    <w:p>
      <w:pPr>
        <w:jc w:val="center"/>
      </w:pPr>
    </w:p>
    <w:p>
      <w:pPr>
        <w:bidi w:val="0"/>
        <w:rPr>
          <w:rFonts w:ascii="Calibri" w:hAnsi="Calibri" w:eastAsia="宋体" w:cs="Times New Roman"/>
          <w:kern w:val="2"/>
          <w:sz w:val="21"/>
          <w:szCs w:val="22"/>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jc w:val="center"/>
        <w:rPr>
          <w:lang w:val="en-US" w:eastAsia="zh-CN"/>
        </w:rPr>
      </w:pPr>
    </w:p>
    <w:p>
      <w:pPr>
        <w:bidi w:val="0"/>
        <w:jc w:val="center"/>
        <w:rPr>
          <w:lang w:val="en-US" w:eastAsia="zh-CN"/>
        </w:rPr>
      </w:pPr>
    </w:p>
    <w:p>
      <w:pPr>
        <w:bidi w:val="0"/>
        <w:jc w:val="center"/>
        <w:rPr>
          <w:lang w:val="en-US" w:eastAsia="zh-CN"/>
        </w:rPr>
      </w:pPr>
    </w:p>
    <w:p>
      <w:pPr>
        <w:bidi w:val="0"/>
        <w:jc w:val="center"/>
        <w:rPr>
          <w:lang w:val="en-US" w:eastAsia="zh-CN"/>
        </w:rPr>
      </w:pPr>
    </w:p>
    <w:p>
      <w:pPr>
        <w:bidi w:val="0"/>
        <w:jc w:val="center"/>
        <w:rPr>
          <w:lang w:val="en-US" w:eastAsia="zh-CN"/>
        </w:rPr>
      </w:pPr>
    </w:p>
    <w:p>
      <w:pPr>
        <w:bidi w:val="0"/>
        <w:jc w:val="center"/>
        <w:rPr>
          <w:lang w:val="en-US" w:eastAsia="zh-CN"/>
        </w:rPr>
      </w:pPr>
    </w:p>
    <w:p>
      <w:pPr>
        <w:jc w:val="center"/>
        <w:rPr>
          <w:rFonts w:eastAsia="黑体" w:cs="Times New Roman"/>
          <w:sz w:val="21"/>
          <w:szCs w:val="21"/>
        </w:rPr>
      </w:pPr>
      <w:r>
        <w:drawing>
          <wp:inline distT="0" distB="0" distL="0" distR="0">
            <wp:extent cx="5975985" cy="5145405"/>
            <wp:effectExtent l="0" t="0" r="5715"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pic:cNvPicPr>
                  </pic:nvPicPr>
                  <pic:blipFill>
                    <a:blip r:embed="rId33"/>
                    <a:stretch>
                      <a:fillRect/>
                    </a:stretch>
                  </pic:blipFill>
                  <pic:spPr>
                    <a:xfrm>
                      <a:off x="0" y="0"/>
                      <a:ext cx="5976000" cy="5145801"/>
                    </a:xfrm>
                    <a:prstGeom prst="rect">
                      <a:avLst/>
                    </a:prstGeom>
                  </pic:spPr>
                </pic:pic>
              </a:graphicData>
            </a:graphic>
          </wp:inline>
        </w:drawing>
      </w:r>
    </w:p>
    <w:p>
      <w:pPr>
        <w:jc w:val="center"/>
        <w:rPr>
          <w:rFonts w:hint="eastAsia" w:ascii="仿宋" w:hAnsi="仿宋" w:eastAsia="仿宋" w:cs="仿宋"/>
          <w:b/>
          <w:bCs/>
          <w:sz w:val="21"/>
          <w:szCs w:val="21"/>
        </w:rPr>
      </w:pPr>
      <w:r>
        <w:rPr>
          <w:rFonts w:hint="eastAsia" w:ascii="仿宋" w:hAnsi="仿宋" w:eastAsia="仿宋" w:cs="仿宋"/>
          <w:b/>
          <w:bCs/>
          <w:sz w:val="21"/>
          <w:szCs w:val="21"/>
        </w:rPr>
        <w:t>图</w:t>
      </w:r>
      <w:r>
        <w:rPr>
          <w:rFonts w:hint="eastAsia" w:ascii="仿宋" w:hAnsi="仿宋" w:eastAsia="仿宋" w:cs="仿宋"/>
          <w:b/>
          <w:bCs/>
          <w:sz w:val="21"/>
          <w:szCs w:val="21"/>
          <w:lang w:val="en-US" w:eastAsia="zh-CN"/>
        </w:rPr>
        <w:t>4-</w:t>
      </w:r>
      <w:r>
        <w:rPr>
          <w:rFonts w:hint="eastAsia" w:ascii="仿宋" w:hAnsi="仿宋" w:eastAsia="仿宋" w:cs="仿宋"/>
          <w:b/>
          <w:bCs/>
          <w:sz w:val="21"/>
          <w:szCs w:val="21"/>
        </w:rPr>
        <w:t>1a 项目生产区场地布点总示意图</w:t>
      </w:r>
    </w:p>
    <w:p>
      <w:pPr>
        <w:bidi w:val="0"/>
        <w:rPr>
          <w:rFonts w:hint="eastAsia" w:ascii="Calibri" w:hAnsi="Calibri" w:eastAsia="宋体" w:cs="Times New Roman"/>
          <w:kern w:val="2"/>
          <w:sz w:val="21"/>
          <w:szCs w:val="22"/>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4519"/>
        </w:tabs>
        <w:bidi w:val="0"/>
        <w:jc w:val="left"/>
        <w:rPr>
          <w:rFonts w:hint="eastAsia"/>
          <w:lang w:val="en-US" w:eastAsia="zh-CN"/>
        </w:rPr>
      </w:pPr>
      <w:r>
        <w:rPr>
          <w:rFonts w:hint="eastAsia"/>
          <w:lang w:val="en-US" w:eastAsia="zh-CN"/>
        </w:rPr>
        <w:tab/>
      </w:r>
    </w:p>
    <w:p>
      <w:pPr>
        <w:tabs>
          <w:tab w:val="left" w:pos="4519"/>
        </w:tabs>
        <w:bidi w:val="0"/>
        <w:jc w:val="left"/>
        <w:rPr>
          <w:rFonts w:hint="eastAsia"/>
          <w:lang w:val="en-US" w:eastAsia="zh-CN"/>
        </w:rPr>
      </w:pPr>
    </w:p>
    <w:p>
      <w:pPr>
        <w:tabs>
          <w:tab w:val="left" w:pos="4519"/>
        </w:tabs>
        <w:bidi w:val="0"/>
        <w:jc w:val="left"/>
        <w:rPr>
          <w:rFonts w:hint="eastAsia"/>
          <w:lang w:val="en-US" w:eastAsia="zh-CN"/>
        </w:rPr>
      </w:pPr>
    </w:p>
    <w:p>
      <w:pPr>
        <w:tabs>
          <w:tab w:val="left" w:pos="4519"/>
        </w:tabs>
        <w:bidi w:val="0"/>
        <w:jc w:val="left"/>
        <w:rPr>
          <w:rFonts w:hint="eastAsia"/>
          <w:lang w:val="en-US" w:eastAsia="zh-CN"/>
        </w:rPr>
      </w:pPr>
    </w:p>
    <w:p>
      <w:pPr>
        <w:tabs>
          <w:tab w:val="left" w:pos="4519"/>
        </w:tabs>
        <w:bidi w:val="0"/>
        <w:jc w:val="left"/>
        <w:rPr>
          <w:rFonts w:hint="eastAsia"/>
          <w:lang w:val="en-US" w:eastAsia="zh-CN"/>
        </w:rPr>
      </w:pPr>
    </w:p>
    <w:p>
      <w:pPr>
        <w:tabs>
          <w:tab w:val="left" w:pos="4519"/>
        </w:tabs>
        <w:bidi w:val="0"/>
        <w:jc w:val="left"/>
        <w:rPr>
          <w:rFonts w:hint="eastAsia"/>
          <w:lang w:val="en-US" w:eastAsia="zh-CN"/>
        </w:rPr>
      </w:pPr>
    </w:p>
    <w:p>
      <w:pPr>
        <w:tabs>
          <w:tab w:val="left" w:pos="4519"/>
        </w:tabs>
        <w:bidi w:val="0"/>
        <w:jc w:val="left"/>
        <w:rPr>
          <w:rFonts w:hint="eastAsia"/>
          <w:lang w:val="en-US" w:eastAsia="zh-CN"/>
        </w:rPr>
      </w:pPr>
    </w:p>
    <w:p>
      <w:pPr>
        <w:jc w:val="center"/>
        <w:rPr>
          <w:rFonts w:eastAsia="黑体" w:cs="Times New Roman"/>
          <w:sz w:val="21"/>
          <w:szCs w:val="21"/>
        </w:rPr>
      </w:pPr>
      <w:r>
        <w:drawing>
          <wp:inline distT="0" distB="0" distL="0" distR="0">
            <wp:extent cx="5975985" cy="5786755"/>
            <wp:effectExtent l="0" t="0" r="5715" b="4445"/>
            <wp:docPr id="95" name="图片 95" descr="E:\国宇-文件编制\编制排查方案--2109.8.13\6 双狮（张家港）精细化工\方案布点图1--201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E:\国宇-文件编制\编制排查方案--2109.8.13\6 双狮（张家港）精细化工\方案布点图1--2019.12.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76000" cy="5787018"/>
                    </a:xfrm>
                    <a:prstGeom prst="rect">
                      <a:avLst/>
                    </a:prstGeom>
                    <a:noFill/>
                    <a:ln>
                      <a:noFill/>
                    </a:ln>
                  </pic:spPr>
                </pic:pic>
              </a:graphicData>
            </a:graphic>
          </wp:inline>
        </w:drawing>
      </w:r>
    </w:p>
    <w:p>
      <w:pPr>
        <w:spacing w:after="163" w:afterLines="50"/>
        <w:jc w:val="center"/>
        <w:rPr>
          <w:rFonts w:hint="eastAsia" w:ascii="仿宋" w:hAnsi="仿宋" w:eastAsia="仿宋" w:cs="仿宋"/>
          <w:b/>
          <w:bCs/>
          <w:sz w:val="21"/>
          <w:szCs w:val="21"/>
        </w:rPr>
      </w:pPr>
      <w:r>
        <w:rPr>
          <w:rFonts w:hint="eastAsia" w:ascii="仿宋" w:hAnsi="仿宋" w:eastAsia="仿宋" w:cs="仿宋"/>
          <w:b/>
          <w:bCs/>
          <w:sz w:val="21"/>
          <w:szCs w:val="21"/>
        </w:rPr>
        <w:t>图</w:t>
      </w:r>
      <w:r>
        <w:rPr>
          <w:rFonts w:hint="eastAsia" w:ascii="仿宋" w:hAnsi="仿宋" w:eastAsia="仿宋" w:cs="仿宋"/>
          <w:b/>
          <w:bCs/>
          <w:sz w:val="21"/>
          <w:szCs w:val="21"/>
          <w:lang w:val="en-US" w:eastAsia="zh-CN"/>
        </w:rPr>
        <w:t>4-</w:t>
      </w:r>
      <w:r>
        <w:rPr>
          <w:rFonts w:hint="eastAsia" w:ascii="仿宋" w:hAnsi="仿宋" w:eastAsia="仿宋" w:cs="仿宋"/>
          <w:b/>
          <w:bCs/>
          <w:sz w:val="21"/>
          <w:szCs w:val="21"/>
        </w:rPr>
        <w:t>1b 项目码头区场地布点总示意图</w:t>
      </w:r>
    </w:p>
    <w:p>
      <w:pPr>
        <w:spacing w:line="240" w:lineRule="atLeast"/>
        <w:jc w:val="center"/>
      </w:pPr>
    </w:p>
    <w:p>
      <w:pPr>
        <w:sectPr>
          <w:pgSz w:w="11906" w:h="16838"/>
          <w:pgMar w:top="720" w:right="720" w:bottom="720" w:left="720" w:header="851" w:footer="992" w:gutter="284"/>
          <w:pgNumType w:fmt="decimal"/>
          <w:cols w:space="720" w:num="1"/>
          <w:docGrid w:type="lines" w:linePitch="312" w:charSpace="0"/>
        </w:sectPr>
      </w:pPr>
    </w:p>
    <w:bookmarkEnd w:id="208"/>
    <w:bookmarkEnd w:id="209"/>
    <w:bookmarkEnd w:id="210"/>
    <w:bookmarkEnd w:id="211"/>
    <w:bookmarkEnd w:id="212"/>
    <w:bookmarkEnd w:id="213"/>
    <w:p>
      <w:pPr>
        <w:pStyle w:val="57"/>
        <w:jc w:val="center"/>
        <w:rPr>
          <w:rFonts w:hint="eastAsia" w:ascii="仿宋" w:hAnsi="仿宋" w:eastAsia="仿宋" w:cs="仿宋"/>
          <w:b/>
          <w:bCs/>
          <w:sz w:val="21"/>
          <w:szCs w:val="21"/>
        </w:rPr>
      </w:pPr>
      <w:bookmarkStart w:id="216" w:name="_Toc248"/>
      <w:bookmarkStart w:id="217" w:name="_Toc25007"/>
      <w:bookmarkStart w:id="218" w:name="_Toc512351191"/>
      <w:bookmarkStart w:id="219" w:name="_Toc9077"/>
      <w:bookmarkStart w:id="220" w:name="_Toc21551"/>
      <w:bookmarkStart w:id="221" w:name="_Toc498199442"/>
      <w:bookmarkStart w:id="222" w:name="_Toc491843932"/>
      <w:r>
        <w:rPr>
          <w:rFonts w:hint="eastAsia" w:ascii="仿宋" w:hAnsi="仿宋" w:eastAsia="仿宋" w:cs="仿宋"/>
          <w:b/>
          <w:bCs/>
          <w:sz w:val="21"/>
          <w:szCs w:val="21"/>
        </w:rPr>
        <w:t>表</w:t>
      </w:r>
      <w:r>
        <w:rPr>
          <w:rFonts w:hint="eastAsia" w:ascii="仿宋" w:hAnsi="仿宋" w:eastAsia="仿宋" w:cs="仿宋"/>
          <w:b/>
          <w:bCs/>
          <w:sz w:val="21"/>
          <w:szCs w:val="21"/>
          <w:lang w:val="en-US" w:eastAsia="zh-CN"/>
        </w:rPr>
        <w:t>4</w:t>
      </w:r>
      <w:r>
        <w:rPr>
          <w:rFonts w:hint="eastAsia" w:ascii="仿宋" w:hAnsi="仿宋" w:eastAsia="仿宋" w:cs="仿宋"/>
          <w:b/>
          <w:bCs/>
          <w:sz w:val="21"/>
          <w:szCs w:val="21"/>
        </w:rPr>
        <w:t>-2  土壤及地下水采样点信息汇总</w:t>
      </w:r>
    </w:p>
    <w:tbl>
      <w:tblPr>
        <w:tblStyle w:val="38"/>
        <w:tblW w:w="14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75"/>
        <w:gridCol w:w="1844"/>
        <w:gridCol w:w="1442"/>
        <w:gridCol w:w="1780"/>
        <w:gridCol w:w="1865"/>
        <w:gridCol w:w="2036"/>
        <w:gridCol w:w="2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shd w:val="clear" w:color="000000" w:fill="auto"/>
            <w:vAlign w:val="center"/>
          </w:tcPr>
          <w:p>
            <w:pPr>
              <w:widowControl/>
              <w:adjustRightInd w:val="0"/>
              <w:snapToGrid w:val="0"/>
              <w:jc w:val="center"/>
              <w:rPr>
                <w:rFonts w:eastAsia="仿宋" w:cs="Times New Roman"/>
                <w:b/>
                <w:kern w:val="0"/>
                <w:sz w:val="21"/>
                <w:szCs w:val="21"/>
              </w:rPr>
            </w:pPr>
            <w:r>
              <w:rPr>
                <w:rFonts w:eastAsia="仿宋" w:cs="Times New Roman"/>
                <w:b/>
                <w:kern w:val="0"/>
                <w:sz w:val="21"/>
                <w:szCs w:val="21"/>
              </w:rPr>
              <w:t>点位编号</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b/>
                <w:kern w:val="0"/>
                <w:sz w:val="21"/>
                <w:szCs w:val="21"/>
              </w:rPr>
            </w:pPr>
            <w:r>
              <w:rPr>
                <w:rFonts w:eastAsia="仿宋" w:cs="Times New Roman"/>
                <w:b/>
                <w:kern w:val="0"/>
                <w:sz w:val="21"/>
                <w:szCs w:val="21"/>
              </w:rPr>
              <w:t>采样深度（m）</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b/>
                <w:kern w:val="0"/>
                <w:sz w:val="21"/>
                <w:szCs w:val="21"/>
              </w:rPr>
            </w:pPr>
            <w:r>
              <w:rPr>
                <w:rFonts w:eastAsia="仿宋" w:cs="Times New Roman"/>
                <w:b/>
                <w:kern w:val="0"/>
                <w:sz w:val="21"/>
                <w:szCs w:val="21"/>
              </w:rPr>
              <w:t>样品采集位置</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b/>
                <w:kern w:val="0"/>
                <w:sz w:val="21"/>
                <w:szCs w:val="21"/>
              </w:rPr>
            </w:pPr>
            <w:r>
              <w:rPr>
                <w:rFonts w:eastAsia="仿宋" w:cs="Times New Roman"/>
                <w:b/>
                <w:kern w:val="0"/>
                <w:sz w:val="21"/>
                <w:szCs w:val="21"/>
              </w:rPr>
              <w:t>送检样品数(个）</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b/>
                <w:kern w:val="0"/>
                <w:sz w:val="21"/>
                <w:szCs w:val="21"/>
              </w:rPr>
            </w:pPr>
            <w:r>
              <w:rPr>
                <w:rFonts w:eastAsia="仿宋" w:cs="Times New Roman"/>
                <w:b/>
                <w:kern w:val="0"/>
                <w:sz w:val="21"/>
                <w:szCs w:val="21"/>
              </w:rPr>
              <w:t>坐标（经度）</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b/>
                <w:kern w:val="0"/>
                <w:sz w:val="21"/>
                <w:szCs w:val="21"/>
              </w:rPr>
            </w:pPr>
            <w:r>
              <w:rPr>
                <w:rFonts w:eastAsia="仿宋" w:cs="Times New Roman"/>
                <w:b/>
                <w:kern w:val="0"/>
                <w:sz w:val="21"/>
                <w:szCs w:val="21"/>
              </w:rPr>
              <w:t>坐标（纬度）</w:t>
            </w:r>
          </w:p>
        </w:tc>
        <w:tc>
          <w:tcPr>
            <w:tcW w:w="2036"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b/>
                <w:kern w:val="0"/>
                <w:sz w:val="21"/>
                <w:szCs w:val="21"/>
              </w:rPr>
            </w:pPr>
            <w:r>
              <w:rPr>
                <w:rFonts w:eastAsia="仿宋" w:cs="Times New Roman"/>
                <w:b/>
                <w:kern w:val="0"/>
                <w:sz w:val="21"/>
                <w:szCs w:val="21"/>
              </w:rPr>
              <w:t>分析检测项</w:t>
            </w: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b/>
                <w:kern w:val="0"/>
                <w:sz w:val="21"/>
                <w:szCs w:val="21"/>
              </w:rPr>
            </w:pPr>
            <w:r>
              <w:rPr>
                <w:rFonts w:eastAsia="仿宋" w:cs="Times New Roman"/>
                <w:b/>
                <w:kern w:val="0"/>
                <w:sz w:val="21"/>
                <w:szCs w:val="21"/>
              </w:rPr>
              <w:t>点位所在区域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color w:val="000000"/>
                <w:sz w:val="21"/>
                <w:szCs w:val="21"/>
              </w:rPr>
              <w:t>BGS</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hint="eastAsia" w:eastAsia="仿宋" w:cs="Times New Roman"/>
                <w:kern w:val="0"/>
                <w:sz w:val="21"/>
                <w:szCs w:val="21"/>
                <w:lang w:eastAsia="zh-CN"/>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hint="default" w:eastAsia="仿宋" w:cs="Times New Roman"/>
                <w:kern w:val="0"/>
                <w:sz w:val="21"/>
                <w:szCs w:val="21"/>
                <w:lang w:val="en-US" w:eastAsia="zh-CN"/>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hint="eastAsia" w:eastAsia="仿宋" w:cs="Times New Roman"/>
                <w:kern w:val="0"/>
                <w:sz w:val="21"/>
                <w:szCs w:val="21"/>
                <w:lang w:eastAsia="zh-CN"/>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120.45546318</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32.010616179</w:t>
            </w:r>
          </w:p>
        </w:tc>
        <w:tc>
          <w:tcPr>
            <w:tcW w:w="2036" w:type="dxa"/>
            <w:tcBorders>
              <w:top w:val="single" w:color="auto" w:sz="4" w:space="0"/>
              <w:left w:val="single" w:color="auto" w:sz="4" w:space="0"/>
              <w:right w:val="single" w:color="auto" w:sz="4" w:space="0"/>
              <w:tl2br w:val="nil"/>
              <w:tr2bl w:val="nil"/>
            </w:tcBorders>
            <w:vAlign w:val="center"/>
          </w:tcPr>
          <w:p>
            <w:pPr>
              <w:adjustRightInd w:val="0"/>
              <w:snapToGrid w:val="0"/>
              <w:jc w:val="center"/>
              <w:rPr>
                <w:rFonts w:eastAsia="仿宋" w:cs="Times New Roman"/>
                <w:kern w:val="0"/>
                <w:sz w:val="21"/>
                <w:szCs w:val="21"/>
              </w:rPr>
            </w:pPr>
            <w:r>
              <w:rPr>
                <w:rFonts w:eastAsia="仿宋" w:cs="Times New Roman"/>
                <w:kern w:val="0"/>
                <w:sz w:val="21"/>
                <w:szCs w:val="21"/>
              </w:rPr>
              <w:t>pH、含水率</w:t>
            </w:r>
            <w:r>
              <w:rPr>
                <w:rFonts w:hint="eastAsia" w:eastAsia="仿宋" w:cs="Times New Roman"/>
                <w:kern w:val="0"/>
                <w:sz w:val="21"/>
                <w:szCs w:val="21"/>
              </w:rPr>
              <w:t>、</w:t>
            </w:r>
            <w:r>
              <w:rPr>
                <w:rFonts w:eastAsia="仿宋" w:cs="Times New Roman"/>
                <w:kern w:val="0"/>
                <w:sz w:val="21"/>
                <w:szCs w:val="21"/>
              </w:rPr>
              <w:t>氯化物、总石油烃及《土壤环境质量 建设用地土壤污染风险管控标准（试行）》（GB36600-2018）中基本项目45项</w:t>
            </w: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码头区域厂区内东北侧绿地</w:t>
            </w:r>
          </w:p>
          <w:p>
            <w:pPr>
              <w:widowControl/>
              <w:adjustRightInd w:val="0"/>
              <w:snapToGrid w:val="0"/>
              <w:jc w:val="center"/>
              <w:rPr>
                <w:rFonts w:eastAsia="仿宋" w:cs="Times New Roman"/>
                <w:kern w:val="0"/>
                <w:sz w:val="21"/>
                <w:szCs w:val="21"/>
              </w:rPr>
            </w:pPr>
            <w:r>
              <w:rPr>
                <w:rFonts w:eastAsia="仿宋" w:cs="Times New Roman"/>
                <w:kern w:val="0"/>
                <w:sz w:val="21"/>
                <w:szCs w:val="21"/>
              </w:rPr>
              <w:t>（土壤对照点）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S1</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120.466009</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32.0014678</w:t>
            </w:r>
          </w:p>
        </w:tc>
        <w:tc>
          <w:tcPr>
            <w:tcW w:w="2036" w:type="dxa"/>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r>
              <w:rPr>
                <w:rFonts w:eastAsia="仿宋" w:cs="Times New Roman"/>
                <w:kern w:val="0"/>
                <w:sz w:val="21"/>
                <w:szCs w:val="21"/>
              </w:rPr>
              <w:t>pH、含水率</w:t>
            </w:r>
            <w:r>
              <w:rPr>
                <w:rFonts w:hint="eastAsia" w:eastAsia="仿宋" w:cs="Times New Roman"/>
                <w:kern w:val="0"/>
                <w:sz w:val="21"/>
                <w:szCs w:val="21"/>
              </w:rPr>
              <w:t>、</w:t>
            </w:r>
            <w:r>
              <w:rPr>
                <w:rFonts w:eastAsia="仿宋" w:cs="Times New Roman"/>
                <w:kern w:val="0"/>
                <w:sz w:val="21"/>
                <w:szCs w:val="21"/>
              </w:rPr>
              <w:t>氯化物、总石油烃及《土壤环境质量 建设用地土壤污染风险管控标准（试行）》（GB36600-2018）中基本项目45项</w:t>
            </w: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一期硫酸装置区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S2</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120.4654377</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32.00045977</w:t>
            </w:r>
          </w:p>
        </w:tc>
        <w:tc>
          <w:tcPr>
            <w:tcW w:w="2036" w:type="dxa"/>
            <w:vMerge w:val="restart"/>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r>
              <w:rPr>
                <w:rFonts w:eastAsia="仿宋" w:cs="Times New Roman"/>
                <w:kern w:val="0"/>
                <w:sz w:val="21"/>
                <w:szCs w:val="21"/>
              </w:rPr>
              <w:t>pH、含水率、氯化物、总石油烃及《土壤环境质量 建设用地土壤污染风险管控标准（试行）》（GB36600-2018）中基本项目45项</w:t>
            </w: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一期硫酸装置区、水处理装置区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ind w:firstLine="315" w:firstLineChars="150"/>
              <w:rPr>
                <w:rFonts w:eastAsia="仿宋" w:cs="Times New Roman"/>
                <w:color w:val="000000"/>
                <w:sz w:val="21"/>
                <w:szCs w:val="21"/>
              </w:rPr>
            </w:pPr>
            <w:r>
              <w:rPr>
                <w:rFonts w:eastAsia="仿宋" w:cs="Times New Roman"/>
                <w:color w:val="000000"/>
                <w:sz w:val="21"/>
                <w:szCs w:val="21"/>
              </w:rPr>
              <w:t>S3</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120.4645897</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32.0008296</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水处理装置区、</w:t>
            </w:r>
            <w:r>
              <w:rPr>
                <w:rFonts w:hint="eastAsia" w:eastAsia="仿宋" w:cs="Times New Roman"/>
                <w:kern w:val="0"/>
                <w:sz w:val="21"/>
                <w:szCs w:val="21"/>
              </w:rPr>
              <w:t>氯碱二期</w:t>
            </w:r>
            <w:r>
              <w:rPr>
                <w:rFonts w:eastAsia="仿宋" w:cs="Times New Roman"/>
                <w:kern w:val="0"/>
                <w:sz w:val="21"/>
                <w:szCs w:val="21"/>
              </w:rPr>
              <w:t>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S4</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120.463495</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31.9999053</w:t>
            </w:r>
          </w:p>
        </w:tc>
        <w:tc>
          <w:tcPr>
            <w:tcW w:w="2036" w:type="dxa"/>
            <w:vMerge w:val="restart"/>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r>
              <w:rPr>
                <w:rFonts w:eastAsia="仿宋" w:cs="Times New Roman"/>
                <w:kern w:val="0"/>
                <w:sz w:val="21"/>
                <w:szCs w:val="21"/>
              </w:rPr>
              <w:t>pH、含水率、氯化物、总石油烃及《土壤环境质量 建设用地土壤污染风险管控标准（试行）》（GB36600-2018）中基本项目45项</w:t>
            </w: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hint="eastAsia" w:eastAsia="仿宋" w:cs="Times New Roman"/>
                <w:kern w:val="0"/>
                <w:sz w:val="21"/>
                <w:szCs w:val="21"/>
              </w:rPr>
              <w:t>氯碱二期</w:t>
            </w:r>
            <w:r>
              <w:rPr>
                <w:rFonts w:eastAsia="仿宋" w:cs="Times New Roman"/>
                <w:kern w:val="0"/>
                <w:sz w:val="21"/>
                <w:szCs w:val="21"/>
              </w:rPr>
              <w:t>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S5</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120.4628613</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32.00037888</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机物料仓库区、氯（氢）处理区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S6</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120.4634181</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32.00107397</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氯压缩、一期氯液化区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S7</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120.4642524</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32.00150121</w:t>
            </w:r>
          </w:p>
        </w:tc>
        <w:tc>
          <w:tcPr>
            <w:tcW w:w="2036" w:type="dxa"/>
            <w:vMerge w:val="restart"/>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r>
              <w:rPr>
                <w:rFonts w:eastAsia="仿宋" w:cs="Times New Roman"/>
                <w:kern w:val="0"/>
                <w:sz w:val="21"/>
                <w:szCs w:val="21"/>
              </w:rPr>
              <w:t>pH、含水率</w:t>
            </w:r>
            <w:r>
              <w:rPr>
                <w:rFonts w:hint="eastAsia" w:eastAsia="仿宋" w:cs="Times New Roman"/>
                <w:kern w:val="0"/>
                <w:sz w:val="21"/>
                <w:szCs w:val="21"/>
              </w:rPr>
              <w:t>、</w:t>
            </w:r>
            <w:r>
              <w:rPr>
                <w:rFonts w:eastAsia="仿宋" w:cs="Times New Roman"/>
                <w:kern w:val="0"/>
                <w:sz w:val="21"/>
                <w:szCs w:val="21"/>
              </w:rPr>
              <w:t>氯化物、总石油烃及《土壤环境质量 建设用地土壤污染风险管控标准（试行）》（GB36600-2018）中基本项目45项</w:t>
            </w: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hint="eastAsia" w:eastAsia="仿宋" w:cs="Times New Roman"/>
                <w:kern w:val="0"/>
                <w:sz w:val="21"/>
                <w:szCs w:val="21"/>
              </w:rPr>
              <w:t>污</w:t>
            </w:r>
            <w:r>
              <w:rPr>
                <w:rFonts w:eastAsia="仿宋" w:cs="Times New Roman"/>
                <w:kern w:val="0"/>
                <w:sz w:val="21"/>
                <w:szCs w:val="21"/>
              </w:rPr>
              <w:t>水</w:t>
            </w:r>
            <w:r>
              <w:rPr>
                <w:rFonts w:hint="eastAsia" w:eastAsia="仿宋" w:cs="Times New Roman"/>
                <w:kern w:val="0"/>
                <w:sz w:val="21"/>
                <w:szCs w:val="21"/>
              </w:rPr>
              <w:t>收集池</w:t>
            </w:r>
            <w:r>
              <w:rPr>
                <w:rFonts w:eastAsia="仿宋" w:cs="Times New Roman"/>
                <w:kern w:val="0"/>
                <w:sz w:val="21"/>
                <w:szCs w:val="21"/>
              </w:rPr>
              <w:t>、循环水池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S8</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120.4656944</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32.00213994</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升压</w:t>
            </w:r>
            <w:r>
              <w:rPr>
                <w:rFonts w:hint="eastAsia" w:eastAsia="仿宋" w:cs="Times New Roman"/>
                <w:kern w:val="0"/>
                <w:sz w:val="21"/>
                <w:szCs w:val="21"/>
              </w:rPr>
              <w:t>\P</w:t>
            </w:r>
            <w:r>
              <w:rPr>
                <w:rFonts w:eastAsia="仿宋" w:cs="Times New Roman"/>
                <w:kern w:val="0"/>
                <w:sz w:val="21"/>
                <w:szCs w:val="21"/>
              </w:rPr>
              <w:t>站、汽轮机厂房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S9</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120.4648399</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32.00231276</w:t>
            </w:r>
          </w:p>
        </w:tc>
        <w:tc>
          <w:tcPr>
            <w:tcW w:w="2036" w:type="dxa"/>
            <w:vMerge w:val="restart"/>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r>
              <w:rPr>
                <w:rFonts w:eastAsia="仿宋" w:cs="Times New Roman"/>
                <w:kern w:val="0"/>
                <w:sz w:val="21"/>
                <w:szCs w:val="21"/>
              </w:rPr>
              <w:t>pH、含水率、氯化物、总石油烃及《土壤环境质量 建设用地土壤污染风险管控标准（试行）》（GB36600-2018）中基本项目45项</w:t>
            </w: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循环水池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S10</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120.4635491</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32.00186401</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液库</w:t>
            </w:r>
            <w:r>
              <w:rPr>
                <w:rFonts w:hint="eastAsia" w:eastAsia="仿宋" w:cs="Times New Roman"/>
                <w:kern w:val="0"/>
                <w:sz w:val="21"/>
                <w:szCs w:val="21"/>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S11</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120.4620231</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32.00097509</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液氯</w:t>
            </w:r>
            <w:r>
              <w:rPr>
                <w:rFonts w:hint="eastAsia" w:eastAsia="仿宋" w:cs="Times New Roman"/>
                <w:kern w:val="0"/>
                <w:sz w:val="21"/>
                <w:szCs w:val="21"/>
              </w:rPr>
              <w:t>充装区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S12</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120.4626996</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32.00173947</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hint="eastAsia" w:eastAsia="仿宋" w:cs="Times New Roman"/>
                <w:kern w:val="0"/>
                <w:sz w:val="21"/>
                <w:szCs w:val="21"/>
              </w:rPr>
              <w:t>储罐</w:t>
            </w:r>
            <w:r>
              <w:rPr>
                <w:rFonts w:eastAsia="仿宋" w:cs="Times New Roman"/>
                <w:kern w:val="0"/>
                <w:sz w:val="21"/>
                <w:szCs w:val="21"/>
              </w:rPr>
              <w:t>区、应急水池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S13</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120.4642504</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32.00247797</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循环水池、二期硫酸装置区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S14</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120.4636212</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32.00287183</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发烟硫酸装置区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S15</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120.4645219</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32.0036436</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发烟硫酸装置区、二期硫酸装置区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S16</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120.4661984</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32.00391747</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废油</w:t>
            </w:r>
            <w:r>
              <w:rPr>
                <w:rFonts w:hint="eastAsia" w:eastAsia="仿宋" w:cs="Times New Roman"/>
                <w:kern w:val="0"/>
                <w:sz w:val="21"/>
                <w:szCs w:val="21"/>
              </w:rPr>
              <w:t>暂存区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S17</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120.4658829</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32.00347818</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危废</w:t>
            </w:r>
            <w:r>
              <w:rPr>
                <w:rFonts w:hint="eastAsia" w:eastAsia="仿宋" w:cs="Times New Roman"/>
                <w:kern w:val="0"/>
                <w:sz w:val="21"/>
                <w:szCs w:val="21"/>
              </w:rPr>
              <w:t>暂存区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S18</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120.4574077</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32.00563967</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hint="eastAsia" w:eastAsia="仿宋" w:cs="Times New Roman"/>
                <w:kern w:val="0"/>
                <w:sz w:val="21"/>
                <w:szCs w:val="21"/>
              </w:rPr>
              <w:t>储罐</w:t>
            </w:r>
            <w:r>
              <w:rPr>
                <w:rFonts w:eastAsia="仿宋" w:cs="Times New Roman"/>
                <w:kern w:val="0"/>
                <w:sz w:val="21"/>
                <w:szCs w:val="21"/>
              </w:rPr>
              <w:t>罐区、清水池、物料装车区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S19</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120.4564556</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32.00676156</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硫磺灌区、液碱区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S20</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120.4562302</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32.00983853</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一次盐水区、</w:t>
            </w:r>
            <w:r>
              <w:rPr>
                <w:rFonts w:hint="eastAsia" w:eastAsia="仿宋" w:cs="Times New Roman"/>
                <w:kern w:val="0"/>
                <w:sz w:val="21"/>
                <w:szCs w:val="21"/>
              </w:rPr>
              <w:t>原</w:t>
            </w:r>
            <w:r>
              <w:rPr>
                <w:rFonts w:eastAsia="仿宋" w:cs="Times New Roman"/>
                <w:kern w:val="0"/>
                <w:sz w:val="21"/>
                <w:szCs w:val="21"/>
              </w:rPr>
              <w:t>溶硫区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S21</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120.4535147</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32.00907148</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盐堆场、</w:t>
            </w:r>
            <w:r>
              <w:rPr>
                <w:rFonts w:hint="eastAsia" w:eastAsia="仿宋" w:cs="Times New Roman"/>
                <w:kern w:val="0"/>
                <w:sz w:val="21"/>
                <w:szCs w:val="21"/>
              </w:rPr>
              <w:t>原</w:t>
            </w:r>
            <w:r>
              <w:rPr>
                <w:rFonts w:eastAsia="仿宋" w:cs="Times New Roman"/>
                <w:kern w:val="0"/>
                <w:sz w:val="21"/>
                <w:szCs w:val="21"/>
              </w:rPr>
              <w:t>硫磺堆场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S22</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120.45537721</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32.00893329</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盐堆场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color w:val="000000"/>
                <w:sz w:val="21"/>
                <w:szCs w:val="21"/>
              </w:rPr>
            </w:pPr>
            <w:r>
              <w:rPr>
                <w:rFonts w:eastAsia="仿宋" w:cs="Times New Roman"/>
                <w:color w:val="000000"/>
                <w:sz w:val="21"/>
                <w:szCs w:val="21"/>
              </w:rPr>
              <w:t>S23</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hint="eastAsia" w:eastAsia="仿宋" w:cs="Times New Roman"/>
                <w:kern w:val="0"/>
                <w:sz w:val="21"/>
                <w:szCs w:val="21"/>
                <w:lang w:val="en-US" w:eastAsia="zh-CN"/>
              </w:rPr>
              <w:t>1</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hint="eastAsia" w:eastAsia="仿宋" w:cs="Times New Roman"/>
                <w:kern w:val="0"/>
                <w:sz w:val="21"/>
                <w:szCs w:val="21"/>
                <w:lang w:val="en-US" w:eastAsia="zh-CN"/>
              </w:rPr>
              <w:t>0.2</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hint="eastAsia" w:eastAsia="仿宋" w:cs="Times New Roman"/>
                <w:kern w:val="0"/>
                <w:sz w:val="21"/>
                <w:szCs w:val="21"/>
                <w:lang w:val="en-US" w:eastAsia="zh-CN"/>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120.45427357</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32.00651687</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hint="eastAsia" w:eastAsia="仿宋" w:cs="Times New Roman"/>
                <w:kern w:val="0"/>
                <w:sz w:val="21"/>
                <w:szCs w:val="21"/>
              </w:rPr>
              <w:t>码头装卸区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color w:val="000000"/>
                <w:sz w:val="21"/>
                <w:szCs w:val="21"/>
              </w:rPr>
              <w:t>BGW</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sz w:val="21"/>
                <w:szCs w:val="21"/>
              </w:rPr>
              <w:t>6</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hint="eastAsia" w:eastAsia="仿宋" w:cs="Times New Roman"/>
                <w:kern w:val="0"/>
                <w:sz w:val="21"/>
                <w:szCs w:val="21"/>
                <w:lang w:val="en-US" w:eastAsia="zh-CN"/>
              </w:rPr>
              <w:t>初见水位下0.5</w:t>
            </w:r>
            <w:r>
              <w:rPr>
                <w:rFonts w:eastAsia="仿宋" w:cs="Times New Roman"/>
                <w:kern w:val="0"/>
                <w:sz w:val="21"/>
                <w:szCs w:val="21"/>
              </w:rPr>
              <w:t>m处</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120.45546318</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32.010616179</w:t>
            </w:r>
          </w:p>
        </w:tc>
        <w:tc>
          <w:tcPr>
            <w:tcW w:w="2036" w:type="dxa"/>
            <w:vMerge w:val="restart"/>
            <w:tcBorders>
              <w:left w:val="single" w:color="auto" w:sz="4" w:space="0"/>
              <w:right w:val="single" w:color="auto" w:sz="4" w:space="0"/>
              <w:tl2br w:val="nil"/>
              <w:tr2bl w:val="nil"/>
            </w:tcBorders>
            <w:vAlign w:val="center"/>
          </w:tcPr>
          <w:p>
            <w:pPr>
              <w:adjustRightInd w:val="0"/>
              <w:snapToGrid w:val="0"/>
              <w:jc w:val="center"/>
              <w:rPr>
                <w:rFonts w:eastAsia="仿宋" w:cs="Times New Roman"/>
                <w:kern w:val="0"/>
                <w:sz w:val="21"/>
                <w:szCs w:val="21"/>
              </w:rPr>
            </w:pPr>
            <w:r>
              <w:rPr>
                <w:rFonts w:eastAsia="仿宋" w:cs="Times New Roman"/>
                <w:kern w:val="0"/>
                <w:sz w:val="21"/>
                <w:szCs w:val="21"/>
              </w:rPr>
              <w:t>pH、氯化物、硫酸盐及其他地下水常规指标、总石油烃、挥发有机物及半挥发有机物</w:t>
            </w: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码头区域厂区内东北侧绿地</w:t>
            </w:r>
          </w:p>
          <w:p>
            <w:pPr>
              <w:widowControl/>
              <w:adjustRightInd w:val="0"/>
              <w:snapToGrid w:val="0"/>
              <w:jc w:val="center"/>
              <w:rPr>
                <w:rFonts w:eastAsia="仿宋" w:cs="Times New Roman"/>
                <w:kern w:val="0"/>
                <w:sz w:val="21"/>
                <w:szCs w:val="21"/>
              </w:rPr>
            </w:pPr>
            <w:r>
              <w:rPr>
                <w:rFonts w:eastAsia="仿宋" w:cs="Times New Roman"/>
                <w:kern w:val="0"/>
                <w:sz w:val="21"/>
                <w:szCs w:val="21"/>
              </w:rPr>
              <w:t>（地下水对照点）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color w:val="000000"/>
                <w:sz w:val="21"/>
                <w:szCs w:val="21"/>
              </w:rPr>
              <w:t>MW1</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sz w:val="21"/>
                <w:szCs w:val="21"/>
              </w:rPr>
              <w:t>6</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hint="eastAsia" w:eastAsia="仿宋" w:cs="Times New Roman"/>
                <w:kern w:val="0"/>
                <w:sz w:val="21"/>
                <w:szCs w:val="21"/>
                <w:lang w:val="en-US" w:eastAsia="zh-CN"/>
              </w:rPr>
              <w:t>初见水位下0.5</w:t>
            </w:r>
            <w:r>
              <w:rPr>
                <w:rFonts w:eastAsia="仿宋" w:cs="Times New Roman"/>
                <w:kern w:val="0"/>
                <w:sz w:val="21"/>
                <w:szCs w:val="21"/>
              </w:rPr>
              <w:t>m处</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120.4654377</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32.00045977</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一期硫酸装置区、水处理装置区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color w:val="000000"/>
                <w:sz w:val="21"/>
                <w:szCs w:val="21"/>
              </w:rPr>
              <w:t>MW2</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sz w:val="21"/>
                <w:szCs w:val="21"/>
              </w:rPr>
              <w:t>6</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hint="eastAsia" w:eastAsia="仿宋" w:cs="Times New Roman"/>
                <w:kern w:val="0"/>
                <w:sz w:val="21"/>
                <w:szCs w:val="21"/>
                <w:lang w:val="en-US" w:eastAsia="zh-CN"/>
              </w:rPr>
              <w:t>初见水位下0.5</w:t>
            </w:r>
            <w:r>
              <w:rPr>
                <w:rFonts w:eastAsia="仿宋" w:cs="Times New Roman"/>
                <w:kern w:val="0"/>
                <w:sz w:val="21"/>
                <w:szCs w:val="21"/>
              </w:rPr>
              <w:t>m处</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120.463495</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31.9999053</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电解装置区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color w:val="000000"/>
                <w:sz w:val="21"/>
                <w:szCs w:val="21"/>
              </w:rPr>
              <w:t>MW3</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sz w:val="21"/>
                <w:szCs w:val="21"/>
              </w:rPr>
              <w:t>6</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hint="eastAsia" w:eastAsia="仿宋" w:cs="Times New Roman"/>
                <w:kern w:val="0"/>
                <w:sz w:val="21"/>
                <w:szCs w:val="21"/>
                <w:lang w:val="en-US" w:eastAsia="zh-CN"/>
              </w:rPr>
              <w:t>初见水位下0.5</w:t>
            </w:r>
            <w:r>
              <w:rPr>
                <w:rFonts w:eastAsia="仿宋" w:cs="Times New Roman"/>
                <w:kern w:val="0"/>
                <w:sz w:val="21"/>
                <w:szCs w:val="21"/>
              </w:rPr>
              <w:t>m处</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120.4642524</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32.00150121</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水处理区、循环水池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color w:val="000000"/>
                <w:sz w:val="21"/>
                <w:szCs w:val="21"/>
              </w:rPr>
            </w:pPr>
            <w:r>
              <w:rPr>
                <w:rFonts w:eastAsia="仿宋" w:cs="Times New Roman"/>
                <w:color w:val="000000"/>
                <w:sz w:val="21"/>
                <w:szCs w:val="21"/>
              </w:rPr>
              <w:t>MW4</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sz w:val="21"/>
                <w:szCs w:val="21"/>
              </w:rPr>
              <w:t>6</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hint="eastAsia" w:eastAsia="仿宋" w:cs="Times New Roman"/>
                <w:kern w:val="0"/>
                <w:sz w:val="21"/>
                <w:szCs w:val="21"/>
                <w:lang w:val="en-US" w:eastAsia="zh-CN"/>
              </w:rPr>
              <w:t>初见水位下0.5</w:t>
            </w:r>
            <w:r>
              <w:rPr>
                <w:rFonts w:eastAsia="仿宋" w:cs="Times New Roman"/>
                <w:kern w:val="0"/>
                <w:sz w:val="21"/>
                <w:szCs w:val="21"/>
              </w:rPr>
              <w:t>m处</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kern w:val="0"/>
                <w:sz w:val="21"/>
                <w:szCs w:val="21"/>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120.4656944</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32.00213994</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升压站、汽轮机厂房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color w:val="000000"/>
                <w:sz w:val="21"/>
                <w:szCs w:val="21"/>
              </w:rPr>
            </w:pPr>
            <w:r>
              <w:rPr>
                <w:rFonts w:eastAsia="仿宋" w:cs="Times New Roman"/>
                <w:color w:val="000000"/>
                <w:sz w:val="21"/>
                <w:szCs w:val="21"/>
              </w:rPr>
              <w:t>MW5</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sz w:val="21"/>
                <w:szCs w:val="21"/>
              </w:rPr>
              <w:t>6</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hint="eastAsia" w:eastAsia="仿宋" w:cs="Times New Roman"/>
                <w:kern w:val="0"/>
                <w:sz w:val="21"/>
                <w:szCs w:val="21"/>
                <w:lang w:val="en-US" w:eastAsia="zh-CN"/>
              </w:rPr>
              <w:t>初见水位下0.5</w:t>
            </w:r>
            <w:r>
              <w:rPr>
                <w:rFonts w:eastAsia="仿宋" w:cs="Times New Roman"/>
                <w:kern w:val="0"/>
                <w:sz w:val="21"/>
                <w:szCs w:val="21"/>
              </w:rPr>
              <w:t>m处</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kern w:val="0"/>
                <w:sz w:val="21"/>
                <w:szCs w:val="21"/>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120.4648399</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32.00231276</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循环水池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color w:val="000000"/>
                <w:sz w:val="21"/>
                <w:szCs w:val="21"/>
              </w:rPr>
            </w:pPr>
            <w:r>
              <w:rPr>
                <w:rFonts w:eastAsia="仿宋" w:cs="Times New Roman"/>
                <w:color w:val="000000"/>
                <w:sz w:val="21"/>
                <w:szCs w:val="21"/>
              </w:rPr>
              <w:t>MW6</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sz w:val="21"/>
                <w:szCs w:val="21"/>
              </w:rPr>
              <w:t>6</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hint="eastAsia" w:eastAsia="仿宋" w:cs="Times New Roman"/>
                <w:kern w:val="0"/>
                <w:sz w:val="21"/>
                <w:szCs w:val="21"/>
                <w:lang w:val="en-US" w:eastAsia="zh-CN"/>
              </w:rPr>
              <w:t>初见水位下0.5</w:t>
            </w:r>
            <w:r>
              <w:rPr>
                <w:rFonts w:eastAsia="仿宋" w:cs="Times New Roman"/>
                <w:kern w:val="0"/>
                <w:sz w:val="21"/>
                <w:szCs w:val="21"/>
              </w:rPr>
              <w:t>m处</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kern w:val="0"/>
                <w:sz w:val="21"/>
                <w:szCs w:val="21"/>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120.4626996</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32.00173947</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氯磺酸库区、应急水池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color w:val="000000"/>
                <w:sz w:val="21"/>
                <w:szCs w:val="21"/>
              </w:rPr>
            </w:pPr>
            <w:r>
              <w:rPr>
                <w:rFonts w:eastAsia="仿宋" w:cs="Times New Roman"/>
                <w:color w:val="000000"/>
                <w:sz w:val="21"/>
                <w:szCs w:val="21"/>
              </w:rPr>
              <w:t>MW7</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sz w:val="21"/>
                <w:szCs w:val="21"/>
              </w:rPr>
              <w:t>6</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hint="eastAsia" w:eastAsia="仿宋" w:cs="Times New Roman"/>
                <w:kern w:val="0"/>
                <w:sz w:val="21"/>
                <w:szCs w:val="21"/>
                <w:lang w:val="en-US" w:eastAsia="zh-CN"/>
              </w:rPr>
              <w:t>初见水位下0.5</w:t>
            </w:r>
            <w:r>
              <w:rPr>
                <w:rFonts w:eastAsia="仿宋" w:cs="Times New Roman"/>
                <w:kern w:val="0"/>
                <w:sz w:val="21"/>
                <w:szCs w:val="21"/>
              </w:rPr>
              <w:t>m处</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kern w:val="0"/>
                <w:sz w:val="21"/>
                <w:szCs w:val="21"/>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120.4645219</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32.0036436</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发烟硫酸装置区、二期硫酸装置区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color w:val="000000"/>
                <w:sz w:val="21"/>
                <w:szCs w:val="21"/>
              </w:rPr>
            </w:pPr>
            <w:r>
              <w:rPr>
                <w:rFonts w:eastAsia="仿宋" w:cs="Times New Roman"/>
                <w:color w:val="000000"/>
                <w:sz w:val="21"/>
                <w:szCs w:val="21"/>
              </w:rPr>
              <w:t>MW8</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sz w:val="21"/>
                <w:szCs w:val="21"/>
              </w:rPr>
              <w:t>6</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hint="eastAsia" w:eastAsia="仿宋" w:cs="Times New Roman"/>
                <w:kern w:val="0"/>
                <w:sz w:val="21"/>
                <w:szCs w:val="21"/>
                <w:lang w:val="en-US" w:eastAsia="zh-CN"/>
              </w:rPr>
              <w:t>初见水位下0.5</w:t>
            </w:r>
            <w:r>
              <w:rPr>
                <w:rFonts w:eastAsia="仿宋" w:cs="Times New Roman"/>
                <w:kern w:val="0"/>
                <w:sz w:val="21"/>
                <w:szCs w:val="21"/>
              </w:rPr>
              <w:t>m处</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kern w:val="0"/>
                <w:sz w:val="21"/>
                <w:szCs w:val="21"/>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120.4661984</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32.00391747</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废油堆放点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color w:val="000000"/>
                <w:sz w:val="21"/>
                <w:szCs w:val="21"/>
              </w:rPr>
            </w:pPr>
            <w:r>
              <w:rPr>
                <w:rFonts w:eastAsia="仿宋" w:cs="Times New Roman"/>
                <w:color w:val="000000"/>
                <w:sz w:val="21"/>
                <w:szCs w:val="21"/>
              </w:rPr>
              <w:t>MW9</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sz w:val="21"/>
                <w:szCs w:val="21"/>
              </w:rPr>
              <w:t>6</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hint="eastAsia" w:eastAsia="仿宋" w:cs="Times New Roman"/>
                <w:kern w:val="0"/>
                <w:sz w:val="21"/>
                <w:szCs w:val="21"/>
                <w:lang w:val="en-US" w:eastAsia="zh-CN"/>
              </w:rPr>
              <w:t>初见水位下0.5</w:t>
            </w:r>
            <w:r>
              <w:rPr>
                <w:rFonts w:eastAsia="仿宋" w:cs="Times New Roman"/>
                <w:kern w:val="0"/>
                <w:sz w:val="21"/>
                <w:szCs w:val="21"/>
              </w:rPr>
              <w:t>m处</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kern w:val="0"/>
                <w:sz w:val="21"/>
                <w:szCs w:val="21"/>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120.4574077</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32.00563967</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hint="eastAsia" w:eastAsia="仿宋" w:cs="Times New Roman"/>
                <w:kern w:val="0"/>
                <w:sz w:val="21"/>
                <w:szCs w:val="21"/>
              </w:rPr>
              <w:t>储罐</w:t>
            </w:r>
            <w:r>
              <w:rPr>
                <w:rFonts w:eastAsia="仿宋" w:cs="Times New Roman"/>
                <w:kern w:val="0"/>
                <w:sz w:val="21"/>
                <w:szCs w:val="21"/>
              </w:rPr>
              <w:t>罐区、清水池、物料装车区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101"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color w:val="000000"/>
                <w:sz w:val="21"/>
                <w:szCs w:val="21"/>
              </w:rPr>
            </w:pPr>
            <w:r>
              <w:rPr>
                <w:rFonts w:eastAsia="仿宋" w:cs="Times New Roman"/>
                <w:color w:val="000000"/>
                <w:sz w:val="21"/>
                <w:szCs w:val="21"/>
              </w:rPr>
              <w:t>MW10</w:t>
            </w:r>
          </w:p>
        </w:tc>
        <w:tc>
          <w:tcPr>
            <w:tcW w:w="127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sz w:val="21"/>
                <w:szCs w:val="21"/>
              </w:rPr>
            </w:pPr>
            <w:r>
              <w:rPr>
                <w:rFonts w:eastAsia="仿宋" w:cs="Times New Roman"/>
                <w:sz w:val="21"/>
                <w:szCs w:val="21"/>
              </w:rPr>
              <w:t>6</w:t>
            </w:r>
          </w:p>
        </w:tc>
        <w:tc>
          <w:tcPr>
            <w:tcW w:w="1844"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hint="eastAsia" w:eastAsia="仿宋" w:cs="Times New Roman"/>
                <w:kern w:val="0"/>
                <w:sz w:val="21"/>
                <w:szCs w:val="21"/>
                <w:lang w:val="en-US" w:eastAsia="zh-CN"/>
              </w:rPr>
              <w:t>初见水位下0.5</w:t>
            </w:r>
            <w:r>
              <w:rPr>
                <w:rFonts w:eastAsia="仿宋" w:cs="Times New Roman"/>
                <w:kern w:val="0"/>
                <w:sz w:val="21"/>
                <w:szCs w:val="21"/>
              </w:rPr>
              <w:t>m处</w:t>
            </w:r>
          </w:p>
        </w:tc>
        <w:tc>
          <w:tcPr>
            <w:tcW w:w="1442"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w:t>
            </w:r>
          </w:p>
        </w:tc>
        <w:tc>
          <w:tcPr>
            <w:tcW w:w="1780"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120.4535147</w:t>
            </w:r>
          </w:p>
        </w:tc>
        <w:tc>
          <w:tcPr>
            <w:tcW w:w="1865" w:type="dxa"/>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仿宋" w:cs="Times New Roman"/>
                <w:kern w:val="0"/>
                <w:sz w:val="21"/>
                <w:szCs w:val="21"/>
              </w:rPr>
            </w:pPr>
            <w:r>
              <w:rPr>
                <w:rFonts w:eastAsia="仿宋" w:cs="Times New Roman"/>
                <w:kern w:val="0"/>
                <w:sz w:val="21"/>
                <w:szCs w:val="21"/>
              </w:rPr>
              <w:t>32.00907148</w:t>
            </w:r>
          </w:p>
        </w:tc>
        <w:tc>
          <w:tcPr>
            <w:tcW w:w="2036" w:type="dxa"/>
            <w:vMerge w:val="continue"/>
            <w:tcBorders>
              <w:left w:val="single" w:color="auto" w:sz="4" w:space="0"/>
              <w:right w:val="single" w:color="auto" w:sz="4" w:space="0"/>
              <w:tl2br w:val="nil"/>
              <w:tr2bl w:val="nil"/>
            </w:tcBorders>
            <w:vAlign w:val="center"/>
          </w:tcPr>
          <w:p>
            <w:pPr>
              <w:adjustRightInd w:val="0"/>
              <w:snapToGrid w:val="0"/>
              <w:ind w:firstLine="420"/>
              <w:jc w:val="center"/>
              <w:rPr>
                <w:rFonts w:eastAsia="仿宋" w:cs="Times New Roman"/>
                <w:kern w:val="0"/>
                <w:sz w:val="21"/>
                <w:szCs w:val="21"/>
              </w:rPr>
            </w:pPr>
          </w:p>
        </w:tc>
        <w:tc>
          <w:tcPr>
            <w:tcW w:w="2875" w:type="dxa"/>
            <w:tcBorders>
              <w:top w:val="single" w:color="auto" w:sz="4" w:space="0"/>
              <w:left w:val="single" w:color="auto" w:sz="4" w:space="0"/>
              <w:bottom w:val="single" w:color="auto" w:sz="4" w:space="0"/>
              <w:right w:val="single" w:color="auto" w:sz="4" w:space="0"/>
              <w:tl2br w:val="nil"/>
              <w:tr2bl w:val="nil"/>
            </w:tcBorders>
            <w:vAlign w:val="center"/>
          </w:tcPr>
          <w:p>
            <w:pPr>
              <w:widowControl/>
              <w:adjustRightInd w:val="0"/>
              <w:snapToGrid w:val="0"/>
              <w:jc w:val="center"/>
              <w:rPr>
                <w:rFonts w:eastAsia="仿宋" w:cs="Times New Roman"/>
                <w:kern w:val="0"/>
                <w:sz w:val="21"/>
                <w:szCs w:val="21"/>
              </w:rPr>
            </w:pPr>
            <w:r>
              <w:rPr>
                <w:rFonts w:eastAsia="仿宋" w:cs="Times New Roman"/>
                <w:kern w:val="0"/>
                <w:sz w:val="21"/>
                <w:szCs w:val="21"/>
              </w:rPr>
              <w:t>盐堆场、硫磺堆场区</w:t>
            </w:r>
          </w:p>
        </w:tc>
      </w:tr>
    </w:tbl>
    <w:p>
      <w:pPr>
        <w:pStyle w:val="57"/>
        <w:adjustRightInd/>
        <w:jc w:val="both"/>
        <w:rPr>
          <w:rFonts w:hint="default" w:ascii="Times New Roman" w:hAnsi="Times New Roman" w:eastAsia="仿宋"/>
          <w:bCs/>
          <w:sz w:val="21"/>
          <w:szCs w:val="21"/>
        </w:rPr>
      </w:pPr>
      <w:r>
        <w:rPr>
          <w:rFonts w:hint="default" w:ascii="Times New Roman" w:hAnsi="Times New Roman" w:eastAsia="仿宋"/>
          <w:bCs/>
          <w:sz w:val="21"/>
          <w:szCs w:val="21"/>
        </w:rPr>
        <w:t>备注：采样点位</w:t>
      </w:r>
      <w:r>
        <w:rPr>
          <w:rFonts w:ascii="Times New Roman" w:hAnsi="Times New Roman" w:eastAsia="仿宋"/>
          <w:bCs/>
          <w:sz w:val="21"/>
          <w:szCs w:val="21"/>
        </w:rPr>
        <w:t>可根据</w:t>
      </w:r>
      <w:r>
        <w:rPr>
          <w:rFonts w:hint="default" w:ascii="Times New Roman" w:hAnsi="Times New Roman" w:eastAsia="仿宋"/>
          <w:bCs/>
          <w:sz w:val="21"/>
          <w:szCs w:val="21"/>
        </w:rPr>
        <w:t>现场</w:t>
      </w:r>
      <w:r>
        <w:rPr>
          <w:rFonts w:ascii="Times New Roman" w:hAnsi="Times New Roman" w:eastAsia="仿宋"/>
          <w:bCs/>
          <w:sz w:val="21"/>
          <w:szCs w:val="21"/>
        </w:rPr>
        <w:t>情况</w:t>
      </w:r>
      <w:r>
        <w:rPr>
          <w:rFonts w:hint="default" w:ascii="Times New Roman" w:hAnsi="Times New Roman" w:eastAsia="仿宋"/>
          <w:bCs/>
          <w:sz w:val="21"/>
          <w:szCs w:val="21"/>
        </w:rPr>
        <w:t>调整。</w:t>
      </w:r>
    </w:p>
    <w:p>
      <w:pPr>
        <w:spacing w:after="163" w:afterLines="50"/>
        <w:rPr>
          <w:rFonts w:eastAsia="黑体" w:cs="Times New Roman"/>
          <w:sz w:val="21"/>
          <w:szCs w:val="21"/>
        </w:rPr>
        <w:sectPr>
          <w:pgSz w:w="16838" w:h="11906" w:orient="landscape"/>
          <w:pgMar w:top="1083" w:right="1440" w:bottom="1083" w:left="1440" w:header="851" w:footer="397" w:gutter="0"/>
          <w:pgNumType w:fmt="decimal"/>
          <w:cols w:space="425" w:num="1"/>
          <w:docGrid w:type="lines" w:linePitch="326" w:charSpace="0"/>
        </w:sectPr>
      </w:pPr>
    </w:p>
    <w:p>
      <w:pPr>
        <w:pStyle w:val="3"/>
        <w:spacing w:before="78" w:beforeLines="25" w:after="78" w:afterLines="25" w:line="360" w:lineRule="auto"/>
        <w:rPr>
          <w:rFonts w:ascii="Times New Roman" w:hAnsi="Times New Roman" w:eastAsia="仿宋"/>
          <w:sz w:val="30"/>
          <w:szCs w:val="30"/>
        </w:rPr>
      </w:pPr>
      <w:bookmarkStart w:id="223" w:name="_Toc8223"/>
      <w:bookmarkStart w:id="224" w:name="_Toc50984948"/>
      <w:r>
        <w:rPr>
          <w:rFonts w:hint="eastAsia" w:ascii="Times New Roman" w:hAnsi="Times New Roman" w:eastAsia="仿宋"/>
          <w:sz w:val="30"/>
          <w:szCs w:val="30"/>
        </w:rPr>
        <w:t>4</w:t>
      </w:r>
      <w:r>
        <w:rPr>
          <w:rFonts w:ascii="Times New Roman" w:hAnsi="Times New Roman" w:eastAsia="仿宋"/>
          <w:sz w:val="30"/>
          <w:szCs w:val="30"/>
        </w:rPr>
        <w:t>.3</w:t>
      </w:r>
      <w:r>
        <w:rPr>
          <w:rFonts w:hint="eastAsia" w:ascii="Times New Roman" w:hAnsi="Times New Roman" w:eastAsia="仿宋"/>
          <w:sz w:val="30"/>
          <w:szCs w:val="30"/>
        </w:rPr>
        <w:t xml:space="preserve"> 监测</w:t>
      </w:r>
      <w:r>
        <w:rPr>
          <w:rFonts w:ascii="Times New Roman" w:hAnsi="Times New Roman" w:eastAsia="仿宋"/>
          <w:sz w:val="30"/>
          <w:szCs w:val="30"/>
        </w:rPr>
        <w:t>频次</w:t>
      </w:r>
      <w:bookmarkEnd w:id="223"/>
      <w:bookmarkEnd w:id="224"/>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根据《在产企业土壤和地下水自行监测技术指南》（报批稿）相关要求，初次监测原则上应包括所有监测对象及点位。公司厂区内土壤和地下水监测频次计划为每年开展一次表层土壤点位和地下水监测，每四年一次深层土壤点位监测。</w:t>
      </w:r>
    </w:p>
    <w:p>
      <w:pPr>
        <w:pStyle w:val="57"/>
        <w:spacing w:before="156" w:beforeLines="50"/>
        <w:jc w:val="center"/>
        <w:rPr>
          <w:rFonts w:hint="default" w:ascii="Times New Roman" w:hAnsi="Times New Roman" w:eastAsia="仿宋"/>
          <w:b/>
          <w:bCs/>
          <w:szCs w:val="21"/>
        </w:rPr>
      </w:pPr>
      <w:r>
        <w:rPr>
          <w:rFonts w:ascii="Times New Roman" w:hAnsi="Times New Roman" w:eastAsia="仿宋"/>
          <w:b/>
          <w:bCs/>
          <w:szCs w:val="21"/>
        </w:rPr>
        <w:t>表4-3  土壤及地下水自行监测频次</w:t>
      </w:r>
    </w:p>
    <w:tbl>
      <w:tblPr>
        <w:tblStyle w:val="3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02"/>
        <w:gridCol w:w="4065"/>
        <w:gridCol w:w="32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1241" w:type="pct"/>
            <w:vMerge w:val="restart"/>
            <w:tcBorders>
              <w:top w:val="single" w:color="auto" w:sz="8" w:space="0"/>
              <w:left w:val="single" w:color="auto" w:sz="8" w:space="0"/>
              <w:bottom w:val="single" w:color="auto" w:sz="4" w:space="0"/>
            </w:tcBorders>
            <w:vAlign w:val="center"/>
          </w:tcPr>
          <w:p>
            <w:pPr>
              <w:autoSpaceDE w:val="0"/>
              <w:autoSpaceDN w:val="0"/>
              <w:jc w:val="center"/>
              <w:rPr>
                <w:rFonts w:ascii="Times New Roman" w:hAnsi="Times New Roman" w:eastAsia="仿宋"/>
                <w:b/>
                <w:szCs w:val="21"/>
              </w:rPr>
            </w:pPr>
            <w:r>
              <w:rPr>
                <w:rFonts w:ascii="Times New Roman" w:hAnsi="Times New Roman" w:eastAsia="仿宋"/>
                <w:b/>
                <w:szCs w:val="21"/>
              </w:rPr>
              <w:t>监测对象</w:t>
            </w:r>
          </w:p>
        </w:tc>
        <w:tc>
          <w:tcPr>
            <w:tcW w:w="3759" w:type="pct"/>
            <w:gridSpan w:val="2"/>
            <w:tcBorders>
              <w:top w:val="single" w:color="auto" w:sz="8" w:space="0"/>
              <w:bottom w:val="single" w:color="auto" w:sz="4" w:space="0"/>
              <w:right w:val="single" w:color="auto" w:sz="8" w:space="0"/>
            </w:tcBorders>
            <w:vAlign w:val="center"/>
          </w:tcPr>
          <w:p>
            <w:pPr>
              <w:autoSpaceDE w:val="0"/>
              <w:autoSpaceDN w:val="0"/>
              <w:jc w:val="center"/>
              <w:rPr>
                <w:rFonts w:ascii="Times New Roman" w:hAnsi="Times New Roman" w:eastAsia="仿宋"/>
                <w:b/>
                <w:szCs w:val="21"/>
              </w:rPr>
            </w:pPr>
            <w:r>
              <w:rPr>
                <w:rFonts w:ascii="Times New Roman" w:hAnsi="Times New Roman" w:eastAsia="仿宋"/>
                <w:b/>
                <w:szCs w:val="21"/>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jc w:val="center"/>
        </w:trPr>
        <w:tc>
          <w:tcPr>
            <w:tcW w:w="1241" w:type="pct"/>
            <w:vMerge w:val="continue"/>
            <w:tcBorders>
              <w:left w:val="single" w:color="auto" w:sz="8" w:space="0"/>
              <w:bottom w:val="single" w:color="auto" w:sz="4" w:space="0"/>
            </w:tcBorders>
            <w:vAlign w:val="center"/>
          </w:tcPr>
          <w:p>
            <w:pPr>
              <w:autoSpaceDE w:val="0"/>
              <w:autoSpaceDN w:val="0"/>
              <w:jc w:val="center"/>
              <w:rPr>
                <w:rFonts w:ascii="Times New Roman" w:hAnsi="Times New Roman" w:eastAsia="仿宋"/>
                <w:szCs w:val="21"/>
              </w:rPr>
            </w:pPr>
          </w:p>
        </w:tc>
        <w:tc>
          <w:tcPr>
            <w:tcW w:w="2100" w:type="pct"/>
            <w:tcBorders>
              <w:top w:val="single" w:color="auto" w:sz="4" w:space="0"/>
              <w:bottom w:val="single" w:color="auto" w:sz="4" w:space="0"/>
              <w:right w:val="single" w:color="auto" w:sz="4" w:space="0"/>
            </w:tcBorders>
            <w:vAlign w:val="center"/>
          </w:tcPr>
          <w:p>
            <w:pPr>
              <w:autoSpaceDE w:val="0"/>
              <w:autoSpaceDN w:val="0"/>
              <w:jc w:val="center"/>
              <w:rPr>
                <w:rFonts w:ascii="Times New Roman" w:hAnsi="Times New Roman" w:eastAsia="仿宋"/>
                <w:szCs w:val="21"/>
              </w:rPr>
            </w:pPr>
            <w:r>
              <w:rPr>
                <w:rFonts w:ascii="Times New Roman" w:hAnsi="Times New Roman" w:eastAsia="仿宋"/>
                <w:szCs w:val="21"/>
              </w:rPr>
              <w:t>表层土壤点位</w:t>
            </w:r>
          </w:p>
          <w:p>
            <w:pPr>
              <w:autoSpaceDE w:val="0"/>
              <w:autoSpaceDN w:val="0"/>
              <w:jc w:val="center"/>
              <w:rPr>
                <w:rFonts w:ascii="Times New Roman" w:hAnsi="Times New Roman" w:eastAsia="仿宋"/>
                <w:szCs w:val="21"/>
              </w:rPr>
            </w:pPr>
            <w:r>
              <w:rPr>
                <w:rFonts w:ascii="Times New Roman" w:hAnsi="Times New Roman" w:eastAsia="仿宋"/>
                <w:szCs w:val="21"/>
              </w:rPr>
              <w:t>（0~0.2 m）</w:t>
            </w:r>
          </w:p>
        </w:tc>
        <w:tc>
          <w:tcPr>
            <w:tcW w:w="1659" w:type="pct"/>
            <w:tcBorders>
              <w:top w:val="single" w:color="auto" w:sz="4" w:space="0"/>
              <w:left w:val="single" w:color="auto" w:sz="4" w:space="0"/>
              <w:bottom w:val="single" w:color="auto" w:sz="4" w:space="0"/>
              <w:right w:val="single" w:color="auto" w:sz="8" w:space="0"/>
            </w:tcBorders>
            <w:vAlign w:val="center"/>
          </w:tcPr>
          <w:p>
            <w:pPr>
              <w:autoSpaceDE w:val="0"/>
              <w:autoSpaceDN w:val="0"/>
              <w:jc w:val="center"/>
              <w:rPr>
                <w:rFonts w:ascii="Times New Roman" w:hAnsi="Times New Roman" w:eastAsia="仿宋"/>
                <w:szCs w:val="21"/>
              </w:rPr>
            </w:pPr>
            <w:r>
              <w:rPr>
                <w:rFonts w:ascii="Times New Roman" w:hAnsi="Times New Roman" w:eastAsia="仿宋"/>
                <w:szCs w:val="21"/>
              </w:rPr>
              <w:t>深层土壤点位</w:t>
            </w:r>
          </w:p>
          <w:p>
            <w:pPr>
              <w:autoSpaceDE w:val="0"/>
              <w:autoSpaceDN w:val="0"/>
              <w:jc w:val="center"/>
              <w:rPr>
                <w:rFonts w:ascii="Times New Roman" w:hAnsi="Times New Roman" w:eastAsia="仿宋"/>
                <w:szCs w:val="21"/>
              </w:rPr>
            </w:pPr>
            <w:r>
              <w:rPr>
                <w:rFonts w:ascii="Times New Roman" w:hAnsi="Times New Roman" w:eastAsia="仿宋"/>
                <w:szCs w:val="21"/>
              </w:rPr>
              <w:t>（</w:t>
            </w:r>
            <w:r>
              <w:rPr>
                <w:rFonts w:hint="eastAsia" w:ascii="Times New Roman" w:hAnsi="Times New Roman" w:eastAsia="仿宋"/>
                <w:szCs w:val="21"/>
                <w:lang w:val="en-US" w:eastAsia="zh-CN"/>
              </w:rPr>
              <w:t>0.2~5</w:t>
            </w:r>
            <w:r>
              <w:rPr>
                <w:rFonts w:ascii="Times New Roman" w:hAnsi="Times New Roman" w:eastAsia="仿宋"/>
                <w:szCs w:val="21"/>
              </w:rPr>
              <w:t xml:space="preserve"> m以下）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jc w:val="center"/>
        </w:trPr>
        <w:tc>
          <w:tcPr>
            <w:tcW w:w="1241" w:type="pct"/>
            <w:tcBorders>
              <w:top w:val="single" w:color="auto" w:sz="4" w:space="0"/>
              <w:left w:val="single" w:color="auto" w:sz="8" w:space="0"/>
            </w:tcBorders>
            <w:vAlign w:val="center"/>
          </w:tcPr>
          <w:p>
            <w:pPr>
              <w:autoSpaceDE w:val="0"/>
              <w:autoSpaceDN w:val="0"/>
              <w:jc w:val="center"/>
              <w:rPr>
                <w:rFonts w:ascii="Times New Roman" w:hAnsi="Times New Roman" w:eastAsia="仿宋"/>
                <w:szCs w:val="21"/>
              </w:rPr>
            </w:pPr>
            <w:r>
              <w:rPr>
                <w:rFonts w:ascii="Times New Roman" w:hAnsi="Times New Roman" w:eastAsia="仿宋"/>
                <w:szCs w:val="21"/>
              </w:rPr>
              <w:t>土壤</w:t>
            </w:r>
          </w:p>
        </w:tc>
        <w:tc>
          <w:tcPr>
            <w:tcW w:w="2100" w:type="pct"/>
            <w:tcBorders>
              <w:top w:val="single" w:color="auto" w:sz="4" w:space="0"/>
              <w:right w:val="single" w:color="auto" w:sz="4" w:space="0"/>
            </w:tcBorders>
            <w:vAlign w:val="center"/>
          </w:tcPr>
          <w:p>
            <w:pPr>
              <w:autoSpaceDE w:val="0"/>
              <w:autoSpaceDN w:val="0"/>
              <w:jc w:val="center"/>
              <w:rPr>
                <w:rFonts w:ascii="Times New Roman" w:hAnsi="Times New Roman" w:eastAsia="仿宋"/>
                <w:szCs w:val="21"/>
              </w:rPr>
            </w:pPr>
            <w:r>
              <w:rPr>
                <w:rFonts w:ascii="Times New Roman" w:hAnsi="Times New Roman" w:eastAsia="仿宋"/>
                <w:szCs w:val="21"/>
              </w:rPr>
              <w:t>1次/年</w:t>
            </w:r>
          </w:p>
        </w:tc>
        <w:tc>
          <w:tcPr>
            <w:tcW w:w="1659" w:type="pct"/>
            <w:tcBorders>
              <w:top w:val="single" w:color="auto" w:sz="4" w:space="0"/>
              <w:left w:val="single" w:color="auto" w:sz="4" w:space="0"/>
              <w:right w:val="single" w:color="auto" w:sz="8" w:space="0"/>
            </w:tcBorders>
            <w:vAlign w:val="center"/>
          </w:tcPr>
          <w:p>
            <w:pPr>
              <w:autoSpaceDE w:val="0"/>
              <w:autoSpaceDN w:val="0"/>
              <w:jc w:val="center"/>
              <w:rPr>
                <w:rFonts w:ascii="Times New Roman" w:hAnsi="Times New Roman" w:eastAsia="仿宋"/>
                <w:szCs w:val="21"/>
              </w:rPr>
            </w:pPr>
            <w:r>
              <w:rPr>
                <w:rFonts w:ascii="Times New Roman" w:hAnsi="Times New Roman" w:eastAsia="仿宋"/>
                <w:szCs w:val="21"/>
              </w:rPr>
              <w:t>1次/4年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1" w:hRule="atLeast"/>
          <w:jc w:val="center"/>
        </w:trPr>
        <w:tc>
          <w:tcPr>
            <w:tcW w:w="1241" w:type="pct"/>
            <w:tcBorders>
              <w:left w:val="single" w:color="auto" w:sz="8" w:space="0"/>
              <w:bottom w:val="single" w:color="auto" w:sz="8" w:space="0"/>
            </w:tcBorders>
            <w:vAlign w:val="center"/>
          </w:tcPr>
          <w:p>
            <w:pPr>
              <w:autoSpaceDE w:val="0"/>
              <w:autoSpaceDN w:val="0"/>
              <w:jc w:val="center"/>
              <w:rPr>
                <w:rFonts w:ascii="Times New Roman" w:hAnsi="Times New Roman" w:eastAsia="仿宋"/>
                <w:szCs w:val="21"/>
              </w:rPr>
            </w:pPr>
            <w:r>
              <w:rPr>
                <w:rFonts w:ascii="Times New Roman" w:hAnsi="Times New Roman" w:eastAsia="仿宋"/>
                <w:szCs w:val="21"/>
              </w:rPr>
              <w:t>地下水</w:t>
            </w:r>
          </w:p>
        </w:tc>
        <w:tc>
          <w:tcPr>
            <w:tcW w:w="3759" w:type="pct"/>
            <w:gridSpan w:val="2"/>
            <w:tcBorders>
              <w:bottom w:val="single" w:color="auto" w:sz="8" w:space="0"/>
              <w:right w:val="single" w:color="auto" w:sz="8" w:space="0"/>
            </w:tcBorders>
            <w:vAlign w:val="center"/>
          </w:tcPr>
          <w:p>
            <w:pPr>
              <w:autoSpaceDE w:val="0"/>
              <w:autoSpaceDN w:val="0"/>
              <w:jc w:val="center"/>
              <w:rPr>
                <w:rFonts w:ascii="Times New Roman" w:hAnsi="Times New Roman" w:eastAsia="仿宋"/>
                <w:szCs w:val="21"/>
              </w:rPr>
            </w:pPr>
            <w:r>
              <w:rPr>
                <w:rFonts w:ascii="Times New Roman" w:hAnsi="Times New Roman" w:eastAsia="仿宋"/>
                <w:szCs w:val="21"/>
              </w:rPr>
              <w:t>1次/年</w:t>
            </w:r>
          </w:p>
        </w:tc>
      </w:tr>
    </w:tbl>
    <w:p>
      <w:pPr>
        <w:pStyle w:val="3"/>
        <w:spacing w:before="120" w:after="120" w:line="360" w:lineRule="auto"/>
        <w:rPr>
          <w:rFonts w:ascii="Times New Roman" w:hAnsi="Times New Roman" w:eastAsia="仿宋"/>
          <w:sz w:val="30"/>
          <w:szCs w:val="30"/>
        </w:rPr>
      </w:pPr>
      <w:bookmarkStart w:id="225" w:name="_Toc19430"/>
      <w:r>
        <w:rPr>
          <w:rFonts w:hint="eastAsia" w:ascii="Times New Roman" w:hAnsi="Times New Roman" w:eastAsia="仿宋"/>
          <w:sz w:val="30"/>
          <w:szCs w:val="30"/>
        </w:rPr>
        <w:t>4</w:t>
      </w:r>
      <w:r>
        <w:rPr>
          <w:rFonts w:ascii="Times New Roman" w:hAnsi="Times New Roman" w:eastAsia="仿宋"/>
          <w:sz w:val="30"/>
          <w:szCs w:val="30"/>
        </w:rPr>
        <w:t>.</w:t>
      </w:r>
      <w:r>
        <w:rPr>
          <w:rFonts w:hint="eastAsia" w:ascii="Times New Roman" w:hAnsi="Times New Roman" w:eastAsia="仿宋"/>
          <w:sz w:val="30"/>
          <w:szCs w:val="30"/>
          <w:lang w:val="en-US" w:eastAsia="zh-CN"/>
        </w:rPr>
        <w:t>4</w:t>
      </w:r>
      <w:r>
        <w:rPr>
          <w:rFonts w:hint="eastAsia" w:ascii="Times New Roman" w:hAnsi="Times New Roman" w:eastAsia="仿宋"/>
          <w:sz w:val="30"/>
          <w:szCs w:val="30"/>
        </w:rPr>
        <w:t xml:space="preserve"> </w:t>
      </w:r>
      <w:r>
        <w:rPr>
          <w:rFonts w:ascii="Times New Roman" w:hAnsi="Times New Roman" w:eastAsia="仿宋"/>
          <w:sz w:val="30"/>
          <w:szCs w:val="30"/>
        </w:rPr>
        <w:t>评价标准</w:t>
      </w:r>
      <w:bookmarkEnd w:id="216"/>
      <w:bookmarkEnd w:id="217"/>
      <w:bookmarkEnd w:id="218"/>
      <w:bookmarkEnd w:id="219"/>
      <w:bookmarkEnd w:id="220"/>
      <w:bookmarkEnd w:id="221"/>
      <w:bookmarkEnd w:id="222"/>
      <w:bookmarkEnd w:id="225"/>
    </w:p>
    <w:p>
      <w:pPr>
        <w:spacing w:line="360" w:lineRule="auto"/>
        <w:ind w:firstLine="480" w:firstLineChars="200"/>
        <w:rPr>
          <w:rFonts w:ascii="Times New Roman" w:hAnsi="Times New Roman" w:eastAsia="仿宋"/>
          <w:sz w:val="24"/>
          <w:szCs w:val="24"/>
        </w:rPr>
      </w:pPr>
      <w:bookmarkStart w:id="226" w:name="_Toc18362_WPSOffice_Level3"/>
      <w:bookmarkStart w:id="227" w:name="_Toc11481"/>
      <w:bookmarkStart w:id="228" w:name="_Toc22484_WPSOffice_Level3"/>
      <w:bookmarkStart w:id="229" w:name="_Toc10234_WPSOffice_Level3"/>
      <w:bookmarkStart w:id="230" w:name="_Toc27162_WPSOffice_Level3"/>
      <w:bookmarkStart w:id="231" w:name="_Toc3744_WPSOffice_Level3"/>
      <w:r>
        <w:rPr>
          <w:rFonts w:ascii="Times New Roman" w:hAnsi="Times New Roman" w:eastAsia="仿宋"/>
          <w:sz w:val="24"/>
          <w:szCs w:val="24"/>
        </w:rPr>
        <w:t>（1）土壤环境质量评价标准</w:t>
      </w:r>
      <w:bookmarkEnd w:id="226"/>
      <w:bookmarkEnd w:id="227"/>
      <w:bookmarkEnd w:id="228"/>
      <w:bookmarkEnd w:id="229"/>
      <w:bookmarkEnd w:id="230"/>
      <w:bookmarkEnd w:id="231"/>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土壤环境质量评价标准优先选用</w:t>
      </w:r>
      <w:r>
        <w:rPr>
          <w:rFonts w:hint="eastAsia" w:ascii="Times New Roman" w:hAnsi="Times New Roman" w:eastAsia="仿宋"/>
          <w:sz w:val="24"/>
          <w:szCs w:val="24"/>
        </w:rPr>
        <w:t>《土壤环境质量 建设用地土壤污染风险管控标准（试行）》（GB 36600-2018）</w:t>
      </w:r>
      <w:r>
        <w:rPr>
          <w:rFonts w:ascii="Times New Roman" w:hAnsi="Times New Roman" w:eastAsia="仿宋"/>
          <w:sz w:val="24"/>
          <w:szCs w:val="24"/>
        </w:rPr>
        <w:t>第二类用地筛选值，场地检出指标《土壤环境质量 建设用地土壤污染风险管控标准（试行）》未涉及时，以场地背景点检出项、同类物质的半致死剂量类比结果</w:t>
      </w:r>
      <w:r>
        <w:rPr>
          <w:rFonts w:hint="eastAsia" w:ascii="Times New Roman" w:hAnsi="Times New Roman" w:eastAsia="仿宋"/>
          <w:sz w:val="24"/>
          <w:szCs w:val="24"/>
        </w:rPr>
        <w:t>、其他地方标准</w:t>
      </w:r>
      <w:r>
        <w:rPr>
          <w:rFonts w:ascii="Times New Roman" w:hAnsi="Times New Roman" w:eastAsia="仿宋"/>
          <w:sz w:val="24"/>
          <w:szCs w:val="24"/>
        </w:rPr>
        <w:t>为参照依据。</w:t>
      </w:r>
    </w:p>
    <w:p>
      <w:pPr>
        <w:spacing w:line="360" w:lineRule="auto"/>
        <w:ind w:firstLine="480" w:firstLineChars="200"/>
        <w:rPr>
          <w:rFonts w:ascii="Times New Roman" w:hAnsi="Times New Roman" w:eastAsia="仿宋"/>
          <w:sz w:val="24"/>
          <w:szCs w:val="24"/>
        </w:rPr>
      </w:pPr>
      <w:bookmarkStart w:id="232" w:name="_Toc27481_WPSOffice_Level3"/>
      <w:bookmarkStart w:id="233" w:name="_Toc16047_WPSOffice_Level3"/>
      <w:bookmarkStart w:id="234" w:name="_Toc11525"/>
      <w:bookmarkStart w:id="235" w:name="_Toc17091_WPSOffice_Level3"/>
      <w:bookmarkStart w:id="236" w:name="_Toc11704_WPSOffice_Level3"/>
      <w:bookmarkStart w:id="237" w:name="_Toc18584_WPSOffice_Level3"/>
      <w:r>
        <w:rPr>
          <w:rFonts w:ascii="Times New Roman" w:hAnsi="Times New Roman" w:eastAsia="仿宋"/>
          <w:sz w:val="24"/>
          <w:szCs w:val="24"/>
        </w:rPr>
        <w:t>（2）地下水环境质量评价标准</w:t>
      </w:r>
      <w:bookmarkEnd w:id="232"/>
      <w:bookmarkEnd w:id="233"/>
      <w:bookmarkEnd w:id="234"/>
      <w:bookmarkEnd w:id="235"/>
      <w:bookmarkEnd w:id="236"/>
      <w:bookmarkEnd w:id="237"/>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场地地下水环境质量评价优先选择《地下水质量标准》（GB/T 14848-2017）Ⅳ类水质标准作为主要评价标准。</w:t>
      </w:r>
    </w:p>
    <w:p>
      <w:pPr>
        <w:pStyle w:val="2"/>
        <w:jc w:val="center"/>
        <w:rPr>
          <w:rStyle w:val="61"/>
          <w:rFonts w:eastAsia="仿宋"/>
          <w:b/>
          <w:sz w:val="32"/>
          <w:szCs w:val="32"/>
        </w:rPr>
      </w:pPr>
      <w:bookmarkStart w:id="238" w:name="_Toc434353306"/>
      <w:bookmarkStart w:id="239" w:name="_Toc11893"/>
      <w:bookmarkStart w:id="240" w:name="_Toc16329"/>
      <w:bookmarkStart w:id="241" w:name="_Toc434353314"/>
      <w:bookmarkStart w:id="242" w:name="_Toc427516422"/>
      <w:r>
        <w:rPr>
          <w:rStyle w:val="61"/>
          <w:rFonts w:eastAsia="仿宋"/>
          <w:b/>
          <w:sz w:val="32"/>
          <w:szCs w:val="32"/>
        </w:rPr>
        <w:br w:type="page"/>
      </w:r>
      <w:bookmarkStart w:id="243" w:name="_Toc6683"/>
      <w:bookmarkStart w:id="244" w:name="_Toc21296"/>
      <w:bookmarkStart w:id="245" w:name="_Toc512351192"/>
      <w:bookmarkStart w:id="246" w:name="_Toc6427"/>
      <w:bookmarkStart w:id="247" w:name="_Toc498199443"/>
      <w:bookmarkStart w:id="248" w:name="_Toc10666"/>
      <w:bookmarkStart w:id="249" w:name="_Toc27979"/>
      <w:r>
        <w:rPr>
          <w:rStyle w:val="61"/>
          <w:rFonts w:eastAsia="仿宋"/>
          <w:b/>
          <w:sz w:val="32"/>
          <w:szCs w:val="32"/>
        </w:rPr>
        <w:t>第</w:t>
      </w:r>
      <w:r>
        <w:rPr>
          <w:rStyle w:val="61"/>
          <w:rFonts w:hint="eastAsia" w:eastAsia="仿宋"/>
          <w:b/>
          <w:sz w:val="32"/>
          <w:szCs w:val="32"/>
          <w:lang w:val="en-US" w:eastAsia="zh-CN"/>
        </w:rPr>
        <w:t>五</w:t>
      </w:r>
      <w:r>
        <w:rPr>
          <w:rStyle w:val="61"/>
          <w:rFonts w:eastAsia="仿宋"/>
          <w:b/>
          <w:sz w:val="32"/>
          <w:szCs w:val="32"/>
        </w:rPr>
        <w:t>章 采样方法与</w:t>
      </w:r>
      <w:bookmarkEnd w:id="238"/>
      <w:bookmarkEnd w:id="239"/>
      <w:r>
        <w:rPr>
          <w:rStyle w:val="61"/>
          <w:rFonts w:eastAsia="仿宋"/>
          <w:b/>
          <w:sz w:val="32"/>
          <w:szCs w:val="32"/>
        </w:rPr>
        <w:t>质量保证</w:t>
      </w:r>
      <w:bookmarkEnd w:id="243"/>
      <w:bookmarkEnd w:id="244"/>
      <w:bookmarkEnd w:id="245"/>
      <w:bookmarkEnd w:id="246"/>
      <w:bookmarkEnd w:id="247"/>
      <w:bookmarkEnd w:id="248"/>
      <w:bookmarkEnd w:id="249"/>
    </w:p>
    <w:p>
      <w:pPr>
        <w:pStyle w:val="3"/>
        <w:spacing w:before="120" w:after="120" w:line="360" w:lineRule="auto"/>
        <w:rPr>
          <w:rFonts w:ascii="Times New Roman" w:hAnsi="Times New Roman" w:eastAsia="仿宋"/>
          <w:sz w:val="28"/>
          <w:szCs w:val="30"/>
        </w:rPr>
      </w:pPr>
      <w:bookmarkStart w:id="250" w:name="_Toc10506"/>
      <w:bookmarkStart w:id="251" w:name="_Toc31395"/>
      <w:bookmarkStart w:id="252" w:name="_Toc26826"/>
      <w:bookmarkStart w:id="253" w:name="_Toc2820"/>
      <w:bookmarkStart w:id="254" w:name="_Toc512351193"/>
      <w:bookmarkStart w:id="255" w:name="_Toc498199444"/>
      <w:bookmarkStart w:id="256" w:name="_Toc10781"/>
      <w:bookmarkStart w:id="257" w:name="_Toc434353307"/>
      <w:bookmarkStart w:id="258" w:name="_Toc6547"/>
      <w:r>
        <w:rPr>
          <w:rFonts w:hint="eastAsia" w:ascii="Times New Roman" w:hAnsi="Times New Roman" w:eastAsia="仿宋"/>
          <w:sz w:val="28"/>
          <w:szCs w:val="30"/>
        </w:rPr>
        <w:t>5</w:t>
      </w:r>
      <w:r>
        <w:rPr>
          <w:rFonts w:ascii="Times New Roman" w:hAnsi="Times New Roman" w:eastAsia="仿宋"/>
          <w:sz w:val="28"/>
          <w:szCs w:val="30"/>
        </w:rPr>
        <w:t>.1</w:t>
      </w:r>
      <w:r>
        <w:rPr>
          <w:rFonts w:hint="eastAsia" w:ascii="Times New Roman" w:hAnsi="Times New Roman" w:eastAsia="仿宋"/>
          <w:sz w:val="28"/>
          <w:szCs w:val="30"/>
        </w:rPr>
        <w:t xml:space="preserve"> </w:t>
      </w:r>
      <w:r>
        <w:rPr>
          <w:rFonts w:ascii="Times New Roman" w:hAnsi="Times New Roman" w:eastAsia="仿宋"/>
          <w:sz w:val="28"/>
          <w:szCs w:val="30"/>
        </w:rPr>
        <w:t>进场前准备工作</w:t>
      </w:r>
      <w:bookmarkEnd w:id="250"/>
      <w:bookmarkEnd w:id="251"/>
      <w:bookmarkEnd w:id="252"/>
      <w:bookmarkEnd w:id="253"/>
      <w:bookmarkEnd w:id="254"/>
      <w:bookmarkEnd w:id="255"/>
      <w:bookmarkEnd w:id="256"/>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为保证采样工作顺利进行，在进场开展调查前需提前进行采样点位确认，确保采样设备能顺利作业，必要时需提前进行场地平整。</w:t>
      </w:r>
    </w:p>
    <w:p>
      <w:pPr>
        <w:pStyle w:val="3"/>
        <w:spacing w:before="120" w:after="120" w:line="360" w:lineRule="auto"/>
        <w:rPr>
          <w:rFonts w:ascii="Times New Roman" w:hAnsi="Times New Roman" w:eastAsia="仿宋"/>
          <w:sz w:val="28"/>
          <w:szCs w:val="30"/>
        </w:rPr>
      </w:pPr>
      <w:bookmarkStart w:id="259" w:name="_Toc498199445"/>
      <w:bookmarkStart w:id="260" w:name="_Toc512351194"/>
      <w:bookmarkStart w:id="261" w:name="_Toc20681"/>
      <w:bookmarkStart w:id="262" w:name="_Toc29909"/>
      <w:bookmarkStart w:id="263" w:name="_Toc4552"/>
      <w:bookmarkStart w:id="264" w:name="_Toc8977"/>
      <w:bookmarkStart w:id="265" w:name="_Toc22250"/>
      <w:r>
        <w:rPr>
          <w:rFonts w:hint="eastAsia" w:ascii="Times New Roman" w:hAnsi="Times New Roman" w:eastAsia="仿宋"/>
          <w:sz w:val="28"/>
          <w:szCs w:val="30"/>
        </w:rPr>
        <w:t>5</w:t>
      </w:r>
      <w:r>
        <w:rPr>
          <w:rFonts w:ascii="Times New Roman" w:hAnsi="Times New Roman" w:eastAsia="仿宋"/>
          <w:sz w:val="28"/>
          <w:szCs w:val="30"/>
        </w:rPr>
        <w:t>.2</w:t>
      </w:r>
      <w:r>
        <w:rPr>
          <w:rFonts w:hint="eastAsia" w:ascii="Times New Roman" w:hAnsi="Times New Roman" w:eastAsia="仿宋"/>
          <w:sz w:val="28"/>
          <w:szCs w:val="30"/>
        </w:rPr>
        <w:t xml:space="preserve"> </w:t>
      </w:r>
      <w:r>
        <w:rPr>
          <w:rFonts w:ascii="Times New Roman" w:hAnsi="Times New Roman" w:eastAsia="仿宋"/>
          <w:sz w:val="28"/>
          <w:szCs w:val="30"/>
        </w:rPr>
        <w:t>采样方法</w:t>
      </w:r>
      <w:bookmarkEnd w:id="257"/>
      <w:bookmarkEnd w:id="258"/>
      <w:bookmarkEnd w:id="259"/>
      <w:bookmarkEnd w:id="260"/>
      <w:bookmarkEnd w:id="261"/>
      <w:bookmarkEnd w:id="262"/>
      <w:bookmarkEnd w:id="263"/>
      <w:bookmarkEnd w:id="264"/>
      <w:bookmarkEnd w:id="265"/>
    </w:p>
    <w:p>
      <w:pPr>
        <w:pStyle w:val="4"/>
        <w:spacing w:before="156" w:beforeLines="50" w:after="156" w:afterLines="50"/>
        <w:rPr>
          <w:rFonts w:ascii="Times New Roman" w:hAnsi="Times New Roman" w:eastAsia="仿宋"/>
          <w:sz w:val="24"/>
          <w:szCs w:val="24"/>
        </w:rPr>
      </w:pPr>
      <w:bookmarkStart w:id="266" w:name="_Toc498199446"/>
      <w:bookmarkStart w:id="267" w:name="_Toc512351195"/>
      <w:bookmarkStart w:id="268" w:name="_Toc17588"/>
      <w:bookmarkStart w:id="269" w:name="_Toc3160"/>
      <w:bookmarkStart w:id="270" w:name="_Toc12966"/>
      <w:bookmarkStart w:id="271" w:name="_Toc16625"/>
      <w:bookmarkStart w:id="272" w:name="_Toc23250"/>
      <w:r>
        <w:rPr>
          <w:rFonts w:hint="eastAsia" w:ascii="Times New Roman" w:hAnsi="Times New Roman" w:eastAsia="仿宋"/>
          <w:sz w:val="24"/>
          <w:szCs w:val="24"/>
        </w:rPr>
        <w:t>5</w:t>
      </w:r>
      <w:r>
        <w:rPr>
          <w:rFonts w:ascii="Times New Roman" w:hAnsi="Times New Roman" w:eastAsia="仿宋"/>
          <w:sz w:val="24"/>
          <w:szCs w:val="24"/>
        </w:rPr>
        <w:t>.2.1</w:t>
      </w:r>
      <w:r>
        <w:rPr>
          <w:rFonts w:hint="eastAsia" w:ascii="Times New Roman" w:hAnsi="Times New Roman" w:eastAsia="仿宋"/>
          <w:sz w:val="24"/>
          <w:szCs w:val="24"/>
        </w:rPr>
        <w:t xml:space="preserve"> </w:t>
      </w:r>
      <w:r>
        <w:rPr>
          <w:rFonts w:ascii="Times New Roman" w:hAnsi="Times New Roman" w:eastAsia="仿宋"/>
          <w:sz w:val="24"/>
          <w:szCs w:val="24"/>
        </w:rPr>
        <w:t>土壤样品采集方法</w:t>
      </w:r>
      <w:bookmarkEnd w:id="266"/>
      <w:bookmarkEnd w:id="267"/>
      <w:bookmarkEnd w:id="268"/>
      <w:bookmarkEnd w:id="269"/>
      <w:bookmarkEnd w:id="270"/>
      <w:bookmarkEnd w:id="271"/>
      <w:bookmarkEnd w:id="272"/>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根据《土壤环境环监测技术规范》中相关采样要求进行土壤样品采集。由于本次场地调查中</w:t>
      </w:r>
      <w:r>
        <w:rPr>
          <w:rFonts w:hint="eastAsia" w:ascii="Times New Roman" w:hAnsi="Times New Roman" w:eastAsia="仿宋"/>
          <w:sz w:val="24"/>
          <w:szCs w:val="24"/>
          <w:lang w:val="en-US" w:eastAsia="zh-CN"/>
        </w:rPr>
        <w:t>只</w:t>
      </w:r>
      <w:r>
        <w:rPr>
          <w:rFonts w:ascii="Times New Roman" w:hAnsi="Times New Roman" w:eastAsia="仿宋"/>
          <w:sz w:val="24"/>
          <w:szCs w:val="24"/>
        </w:rPr>
        <w:t>采集</w:t>
      </w:r>
      <w:r>
        <w:rPr>
          <w:rFonts w:hint="eastAsia" w:ascii="Times New Roman" w:hAnsi="Times New Roman" w:eastAsia="仿宋"/>
          <w:sz w:val="24"/>
          <w:szCs w:val="24"/>
          <w:lang w:val="en-US" w:eastAsia="zh-CN"/>
        </w:rPr>
        <w:t>表层</w:t>
      </w:r>
      <w:r>
        <w:rPr>
          <w:rFonts w:ascii="Times New Roman" w:hAnsi="Times New Roman" w:eastAsia="仿宋"/>
          <w:sz w:val="24"/>
          <w:szCs w:val="24"/>
        </w:rPr>
        <w:t>土壤样品，因此土壤样品采集使用</w:t>
      </w:r>
      <w:r>
        <w:rPr>
          <w:rFonts w:hint="eastAsia" w:ascii="Times New Roman" w:hAnsi="Times New Roman" w:eastAsia="仿宋"/>
          <w:sz w:val="24"/>
          <w:szCs w:val="24"/>
          <w:lang w:val="en-US" w:eastAsia="zh-CN"/>
        </w:rPr>
        <w:t>人工手钻进行采集</w:t>
      </w:r>
      <w:r>
        <w:rPr>
          <w:rFonts w:ascii="Times New Roman" w:hAnsi="Times New Roman" w:eastAsia="仿宋"/>
          <w:sz w:val="24"/>
          <w:szCs w:val="24"/>
        </w:rPr>
        <w:t>，通过内衬塑料套管采集设定深度的土壤芯样。样品随采样管一同取出后，根据采样需求与实际压缩比截取一定芯样，连同采样管密封后待送样检测。</w:t>
      </w:r>
    </w:p>
    <w:p>
      <w:pPr>
        <w:pStyle w:val="4"/>
        <w:spacing w:before="156" w:beforeLines="50" w:after="156" w:afterLines="50" w:line="360" w:lineRule="auto"/>
        <w:rPr>
          <w:rFonts w:ascii="Times New Roman" w:hAnsi="Times New Roman" w:eastAsia="仿宋"/>
          <w:sz w:val="24"/>
          <w:szCs w:val="24"/>
        </w:rPr>
      </w:pPr>
      <w:bookmarkStart w:id="273" w:name="_Toc17149"/>
      <w:bookmarkStart w:id="274" w:name="_Toc14982"/>
      <w:bookmarkStart w:id="275" w:name="_Toc28483"/>
      <w:bookmarkStart w:id="276" w:name="_Toc29519"/>
      <w:bookmarkStart w:id="277" w:name="_Toc17414"/>
      <w:bookmarkStart w:id="278" w:name="_Toc512351196"/>
      <w:bookmarkStart w:id="279" w:name="_Toc498199447"/>
      <w:r>
        <w:rPr>
          <w:rFonts w:hint="eastAsia" w:ascii="Times New Roman" w:hAnsi="Times New Roman" w:eastAsia="仿宋"/>
          <w:sz w:val="24"/>
          <w:szCs w:val="24"/>
        </w:rPr>
        <w:t>5</w:t>
      </w:r>
      <w:r>
        <w:rPr>
          <w:rFonts w:ascii="Times New Roman" w:hAnsi="Times New Roman" w:eastAsia="仿宋"/>
          <w:sz w:val="24"/>
          <w:szCs w:val="24"/>
        </w:rPr>
        <w:t>.2.2</w:t>
      </w:r>
      <w:r>
        <w:rPr>
          <w:rFonts w:hint="eastAsia" w:ascii="Times New Roman" w:hAnsi="Times New Roman" w:eastAsia="仿宋"/>
          <w:sz w:val="24"/>
          <w:szCs w:val="24"/>
        </w:rPr>
        <w:t xml:space="preserve"> </w:t>
      </w:r>
      <w:r>
        <w:rPr>
          <w:rFonts w:ascii="Times New Roman" w:hAnsi="Times New Roman" w:eastAsia="仿宋"/>
          <w:sz w:val="24"/>
          <w:szCs w:val="24"/>
        </w:rPr>
        <w:t>地下水样品采集方法</w:t>
      </w:r>
      <w:bookmarkEnd w:id="273"/>
      <w:bookmarkEnd w:id="274"/>
      <w:bookmarkEnd w:id="275"/>
      <w:bookmarkEnd w:id="276"/>
      <w:bookmarkEnd w:id="277"/>
      <w:bookmarkEnd w:id="278"/>
      <w:bookmarkEnd w:id="279"/>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根据《地下水环境环监测技术规范》中相关采样要求进行地下水样品采集。本项目拟采用Geoprobe中空螺旋钻设井方式设置监测井，中空螺旋钻设井完全满足各项监测井规范要求。具体步骤如下：</w:t>
      </w:r>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①技术定位，表面清理；</w:t>
      </w:r>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②钻杆安装并钻进，钻进过程中适时清理并收集溢出土壤，并适时连接新钻杆，直至达到预期深度；</w:t>
      </w:r>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③击落木塞，装入筛管；</w:t>
      </w:r>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④提升并卸下钻杆，逐渐倒入石英砂至计算量；</w:t>
      </w:r>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⑤提升钻杆卸下钻杆，同时倒入粘土或膨润土，至计算量；</w:t>
      </w:r>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⑥制作井保护；</w:t>
      </w:r>
    </w:p>
    <w:p>
      <w:pPr>
        <w:spacing w:line="360"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⑦做好井标记。监测井设立后为将钻孔时产生的杂质和周围含水层中淤泥洗出，需进行洗井，以防筛管堵塞和井水浑浊。</w:t>
      </w:r>
    </w:p>
    <w:p>
      <w:pPr>
        <w:pStyle w:val="3"/>
        <w:rPr>
          <w:rFonts w:ascii="Times New Roman" w:hAnsi="Times New Roman" w:eastAsia="仿宋"/>
          <w:sz w:val="28"/>
          <w:szCs w:val="30"/>
        </w:rPr>
      </w:pPr>
      <w:bookmarkStart w:id="280" w:name="_Toc22640"/>
      <w:bookmarkStart w:id="281" w:name="_Toc10033"/>
      <w:bookmarkStart w:id="282" w:name="_Toc434353309"/>
      <w:bookmarkStart w:id="283" w:name="_Toc12781"/>
      <w:bookmarkStart w:id="284" w:name="_Toc19773"/>
      <w:bookmarkStart w:id="285" w:name="_Toc512351197"/>
      <w:bookmarkStart w:id="286" w:name="_Toc7683"/>
      <w:bookmarkStart w:id="287" w:name="_Toc24155"/>
      <w:bookmarkStart w:id="288" w:name="_Toc498199450"/>
      <w:r>
        <w:rPr>
          <w:rFonts w:hint="eastAsia" w:ascii="Times New Roman" w:hAnsi="Times New Roman" w:eastAsia="仿宋"/>
          <w:sz w:val="28"/>
          <w:szCs w:val="30"/>
        </w:rPr>
        <w:t>5</w:t>
      </w:r>
      <w:r>
        <w:rPr>
          <w:rFonts w:ascii="Times New Roman" w:hAnsi="Times New Roman" w:eastAsia="仿宋"/>
          <w:sz w:val="28"/>
          <w:szCs w:val="30"/>
        </w:rPr>
        <w:t>.</w:t>
      </w:r>
      <w:r>
        <w:rPr>
          <w:rFonts w:hint="eastAsia" w:ascii="Times New Roman" w:hAnsi="Times New Roman" w:eastAsia="仿宋"/>
          <w:sz w:val="28"/>
          <w:szCs w:val="30"/>
        </w:rPr>
        <w:t xml:space="preserve">3 </w:t>
      </w:r>
      <w:r>
        <w:rPr>
          <w:rFonts w:ascii="Times New Roman" w:hAnsi="Times New Roman" w:eastAsia="仿宋"/>
          <w:sz w:val="28"/>
          <w:szCs w:val="30"/>
        </w:rPr>
        <w:t>样品保存</w:t>
      </w:r>
      <w:bookmarkEnd w:id="280"/>
      <w:bookmarkEnd w:id="281"/>
      <w:bookmarkEnd w:id="282"/>
      <w:bookmarkEnd w:id="283"/>
      <w:bookmarkEnd w:id="284"/>
      <w:bookmarkEnd w:id="285"/>
      <w:bookmarkEnd w:id="286"/>
      <w:bookmarkEnd w:id="287"/>
      <w:bookmarkEnd w:id="288"/>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样品经采集分装现场监测后应及时保存。分别根据《土壤环境监测技术规范》、《地下水环境监测技术规范》、《地表水和污水环境监测技术规范》和《水质 样品的保存和管理技术规定》中相关要求进行妥善保存，做好样品记录并及时送样检测。</w:t>
      </w:r>
    </w:p>
    <w:bookmarkEnd w:id="240"/>
    <w:bookmarkEnd w:id="241"/>
    <w:bookmarkEnd w:id="242"/>
    <w:p>
      <w:pPr>
        <w:pStyle w:val="3"/>
        <w:keepNext w:val="0"/>
        <w:keepLines w:val="0"/>
        <w:spacing w:before="156" w:beforeLines="50" w:after="156" w:afterLines="50" w:line="360" w:lineRule="auto"/>
        <w:rPr>
          <w:rFonts w:ascii="Times New Roman" w:hAnsi="Times New Roman" w:eastAsia="仿宋"/>
          <w:sz w:val="28"/>
          <w:szCs w:val="28"/>
        </w:rPr>
      </w:pPr>
      <w:bookmarkStart w:id="289" w:name="_Toc26497"/>
      <w:bookmarkStart w:id="290" w:name="_Toc27525"/>
      <w:bookmarkStart w:id="291" w:name="_Toc434353317"/>
      <w:bookmarkStart w:id="292" w:name="_Toc22787"/>
      <w:bookmarkStart w:id="293" w:name="_Toc31297"/>
      <w:bookmarkStart w:id="294" w:name="_Toc32661"/>
      <w:bookmarkStart w:id="295" w:name="_Toc427516425"/>
      <w:bookmarkStart w:id="296" w:name="_Toc512351198"/>
      <w:bookmarkStart w:id="297" w:name="_Toc498199451"/>
      <w:bookmarkStart w:id="298" w:name="_Toc24259"/>
      <w:r>
        <w:rPr>
          <w:rFonts w:hint="eastAsia" w:ascii="Times New Roman" w:hAnsi="Times New Roman" w:eastAsia="仿宋"/>
          <w:sz w:val="28"/>
          <w:szCs w:val="28"/>
        </w:rPr>
        <w:t>5</w:t>
      </w:r>
      <w:r>
        <w:rPr>
          <w:rFonts w:ascii="Times New Roman" w:hAnsi="Times New Roman" w:eastAsia="仿宋"/>
          <w:sz w:val="28"/>
          <w:szCs w:val="28"/>
        </w:rPr>
        <w:t>.</w:t>
      </w:r>
      <w:r>
        <w:rPr>
          <w:rFonts w:hint="eastAsia" w:ascii="Times New Roman" w:hAnsi="Times New Roman" w:eastAsia="仿宋"/>
          <w:sz w:val="28"/>
          <w:szCs w:val="28"/>
        </w:rPr>
        <w:t xml:space="preserve">4 </w:t>
      </w:r>
      <w:r>
        <w:rPr>
          <w:rFonts w:ascii="Times New Roman" w:hAnsi="Times New Roman" w:eastAsia="仿宋"/>
          <w:sz w:val="28"/>
          <w:szCs w:val="28"/>
        </w:rPr>
        <w:t>质量保证与质量控制</w:t>
      </w:r>
      <w:bookmarkEnd w:id="289"/>
      <w:bookmarkEnd w:id="290"/>
      <w:bookmarkEnd w:id="291"/>
      <w:bookmarkEnd w:id="292"/>
      <w:bookmarkEnd w:id="293"/>
      <w:bookmarkEnd w:id="294"/>
      <w:bookmarkEnd w:id="295"/>
      <w:bookmarkEnd w:id="296"/>
      <w:bookmarkEnd w:id="297"/>
      <w:bookmarkEnd w:id="298"/>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根据《</w:t>
      </w:r>
      <w:r>
        <w:rPr>
          <w:rFonts w:hint="eastAsia" w:ascii="Times New Roman" w:hAnsi="Times New Roman" w:eastAsia="仿宋"/>
          <w:sz w:val="24"/>
          <w:szCs w:val="24"/>
        </w:rPr>
        <w:t>建设用地土壤污染状况调查技术导则》</w:t>
      </w:r>
      <w:r>
        <w:rPr>
          <w:rFonts w:ascii="Times New Roman" w:hAnsi="Times New Roman" w:eastAsia="仿宋"/>
          <w:sz w:val="24"/>
          <w:szCs w:val="24"/>
        </w:rPr>
        <w:t>》与《</w:t>
      </w:r>
      <w:r>
        <w:rPr>
          <w:rFonts w:hint="eastAsia" w:ascii="Times New Roman" w:hAnsi="Times New Roman" w:eastAsia="仿宋"/>
          <w:sz w:val="24"/>
          <w:szCs w:val="24"/>
        </w:rPr>
        <w:t>建设用地土壤污染风险管控和修复 监测技术导则</w:t>
      </w:r>
      <w:r>
        <w:rPr>
          <w:rFonts w:ascii="Times New Roman" w:hAnsi="Times New Roman" w:eastAsia="仿宋"/>
          <w:sz w:val="24"/>
          <w:szCs w:val="24"/>
        </w:rPr>
        <w:t>》相关要求，在采样过程、样品分析及其它过程进行中应注重质量保证与质量控制。</w:t>
      </w:r>
    </w:p>
    <w:p>
      <w:pPr>
        <w:spacing w:line="360" w:lineRule="auto"/>
        <w:ind w:firstLine="482" w:firstLineChars="200"/>
        <w:rPr>
          <w:rFonts w:ascii="Times New Roman" w:hAnsi="Times New Roman" w:eastAsia="仿宋"/>
          <w:b/>
          <w:sz w:val="24"/>
          <w:szCs w:val="24"/>
        </w:rPr>
      </w:pPr>
      <w:bookmarkStart w:id="299" w:name="_Toc7436_WPSOffice_Level3"/>
      <w:bookmarkStart w:id="300" w:name="_Toc7939"/>
      <w:bookmarkStart w:id="301" w:name="_Toc18709_WPSOffice_Level3"/>
      <w:bookmarkStart w:id="302" w:name="_Toc13135_WPSOffice_Level3"/>
      <w:bookmarkStart w:id="303" w:name="_Toc23132_WPSOffice_Level3"/>
      <w:bookmarkStart w:id="304" w:name="_Toc20738"/>
      <w:bookmarkStart w:id="305" w:name="_Toc20808_WPSOffice_Level3"/>
      <w:r>
        <w:rPr>
          <w:rFonts w:ascii="Times New Roman" w:hAnsi="Times New Roman" w:eastAsia="仿宋"/>
          <w:b/>
          <w:sz w:val="24"/>
          <w:szCs w:val="24"/>
        </w:rPr>
        <w:t>（1）采样过程</w:t>
      </w:r>
      <w:bookmarkEnd w:id="299"/>
      <w:bookmarkEnd w:id="300"/>
      <w:bookmarkEnd w:id="301"/>
      <w:bookmarkEnd w:id="302"/>
      <w:bookmarkEnd w:id="303"/>
      <w:bookmarkEnd w:id="304"/>
      <w:bookmarkEnd w:id="305"/>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在样品采集、保存、运输、交接等过程应建立完整的管理程序。为避免采样设备及外部环境条件等因素对样品产生影响，应注重现场采样过程中的质量保证与质量控制。主要措施包括：防止采样过程中的交叉污染，采集现场质量控制样，平行样、空白样的采集，现场采样与现场监测记录齐全等。</w:t>
      </w:r>
    </w:p>
    <w:p>
      <w:pPr>
        <w:spacing w:line="360" w:lineRule="auto"/>
        <w:ind w:firstLine="482" w:firstLineChars="200"/>
        <w:rPr>
          <w:rFonts w:ascii="Times New Roman" w:hAnsi="Times New Roman" w:eastAsia="仿宋"/>
          <w:b/>
          <w:sz w:val="28"/>
          <w:szCs w:val="28"/>
        </w:rPr>
      </w:pPr>
      <w:bookmarkStart w:id="306" w:name="_Toc6772_WPSOffice_Level3"/>
      <w:bookmarkStart w:id="307" w:name="_Toc10261_WPSOffice_Level3"/>
      <w:bookmarkStart w:id="308" w:name="_Toc16381"/>
      <w:bookmarkStart w:id="309" w:name="_Toc31990_WPSOffice_Level3"/>
      <w:bookmarkStart w:id="310" w:name="_Toc6773_WPSOffice_Level3"/>
      <w:bookmarkStart w:id="311" w:name="_Toc2044_WPSOffice_Level3"/>
      <w:bookmarkStart w:id="312" w:name="_Toc15058"/>
      <w:r>
        <w:rPr>
          <w:rFonts w:ascii="Times New Roman" w:hAnsi="Times New Roman" w:eastAsia="仿宋"/>
          <w:b/>
          <w:sz w:val="24"/>
          <w:szCs w:val="24"/>
        </w:rPr>
        <w:t>（2）样品分析及其他过程</w:t>
      </w:r>
      <w:bookmarkEnd w:id="306"/>
      <w:bookmarkEnd w:id="307"/>
      <w:bookmarkEnd w:id="308"/>
      <w:bookmarkEnd w:id="309"/>
      <w:bookmarkEnd w:id="310"/>
      <w:bookmarkEnd w:id="311"/>
      <w:bookmarkEnd w:id="312"/>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土壤、地下水样品分析及其他过程的质量控制与质量保证技术要求按照《土壤环境监测技术规范》、《地下水环境监测技术规范》、《地表水和污水环境监测技术规范》和《水质 样品的保存和管理技术规定》等规范要求进行，对于特殊监测项目应按照相关标准要求在限定时间内进行监测。</w:t>
      </w:r>
    </w:p>
    <w:p>
      <w:pPr>
        <w:pStyle w:val="2"/>
        <w:spacing w:line="240" w:lineRule="auto"/>
        <w:jc w:val="center"/>
        <w:rPr>
          <w:rStyle w:val="61"/>
          <w:rFonts w:eastAsia="仿宋"/>
          <w:b/>
          <w:sz w:val="32"/>
          <w:szCs w:val="32"/>
        </w:rPr>
      </w:pPr>
      <w:r>
        <w:rPr>
          <w:rFonts w:eastAsia="仿宋"/>
          <w:sz w:val="28"/>
          <w:szCs w:val="28"/>
        </w:rPr>
        <w:br w:type="page"/>
      </w:r>
      <w:bookmarkStart w:id="313" w:name="_Toc20975"/>
      <w:bookmarkStart w:id="314" w:name="_Toc427516426"/>
      <w:bookmarkStart w:id="315" w:name="_Toc434353318"/>
      <w:bookmarkStart w:id="316" w:name="_Toc498199452"/>
      <w:bookmarkStart w:id="317" w:name="_Toc2859"/>
      <w:bookmarkStart w:id="318" w:name="_Toc5487"/>
      <w:bookmarkStart w:id="319" w:name="_Toc512351199"/>
      <w:bookmarkStart w:id="320" w:name="_Toc15427"/>
      <w:bookmarkStart w:id="321" w:name="_Toc31314"/>
      <w:bookmarkStart w:id="322" w:name="_Toc19734"/>
      <w:r>
        <w:rPr>
          <w:rStyle w:val="61"/>
          <w:rFonts w:eastAsia="仿宋"/>
          <w:b/>
          <w:sz w:val="32"/>
          <w:szCs w:val="32"/>
        </w:rPr>
        <w:t>第</w:t>
      </w:r>
      <w:r>
        <w:rPr>
          <w:rStyle w:val="61"/>
          <w:rFonts w:hint="eastAsia" w:eastAsia="仿宋"/>
          <w:b/>
          <w:sz w:val="32"/>
          <w:szCs w:val="32"/>
        </w:rPr>
        <w:t>六</w:t>
      </w:r>
      <w:r>
        <w:rPr>
          <w:rStyle w:val="61"/>
          <w:rFonts w:eastAsia="仿宋"/>
          <w:b/>
          <w:sz w:val="32"/>
          <w:szCs w:val="32"/>
        </w:rPr>
        <w:t xml:space="preserve">章 </w:t>
      </w:r>
      <w:bookmarkEnd w:id="313"/>
      <w:bookmarkEnd w:id="314"/>
      <w:bookmarkEnd w:id="315"/>
      <w:r>
        <w:rPr>
          <w:rStyle w:val="61"/>
          <w:rFonts w:eastAsia="仿宋"/>
          <w:b/>
          <w:sz w:val="32"/>
          <w:szCs w:val="32"/>
        </w:rPr>
        <w:t>项目核算</w:t>
      </w:r>
      <w:bookmarkEnd w:id="316"/>
      <w:bookmarkEnd w:id="317"/>
      <w:bookmarkEnd w:id="318"/>
      <w:bookmarkEnd w:id="319"/>
      <w:bookmarkEnd w:id="320"/>
      <w:bookmarkEnd w:id="321"/>
      <w:bookmarkEnd w:id="322"/>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综合以上调查内容与工作量，本次场地调查及后续样品检测、数据分析、评估报告编制时间进度计划如下表</w:t>
      </w:r>
      <w:r>
        <w:rPr>
          <w:rFonts w:hint="eastAsia" w:ascii="Times New Roman" w:hAnsi="Times New Roman" w:eastAsia="仿宋"/>
          <w:sz w:val="24"/>
          <w:szCs w:val="24"/>
        </w:rPr>
        <w:t>6</w:t>
      </w:r>
      <w:r>
        <w:rPr>
          <w:rFonts w:ascii="Times New Roman" w:hAnsi="Times New Roman" w:eastAsia="仿宋"/>
          <w:sz w:val="24"/>
          <w:szCs w:val="24"/>
        </w:rPr>
        <w:t>-1所示：</w:t>
      </w:r>
    </w:p>
    <w:p>
      <w:pPr>
        <w:spacing w:before="156" w:beforeLines="50"/>
        <w:jc w:val="center"/>
        <w:rPr>
          <w:rFonts w:ascii="Times New Roman" w:hAnsi="Times New Roman" w:eastAsia="仿宋"/>
          <w:b/>
          <w:bCs/>
          <w:sz w:val="21"/>
          <w:szCs w:val="21"/>
        </w:rPr>
      </w:pPr>
      <w:r>
        <w:rPr>
          <w:rFonts w:ascii="Times New Roman" w:hAnsi="Times New Roman" w:eastAsia="仿宋"/>
          <w:b/>
          <w:bCs/>
          <w:sz w:val="21"/>
          <w:szCs w:val="21"/>
        </w:rPr>
        <w:t>表</w:t>
      </w:r>
      <w:r>
        <w:rPr>
          <w:rFonts w:hint="eastAsia" w:ascii="Times New Roman" w:hAnsi="Times New Roman" w:eastAsia="仿宋"/>
          <w:b/>
          <w:bCs/>
          <w:sz w:val="21"/>
          <w:szCs w:val="21"/>
        </w:rPr>
        <w:t>6</w:t>
      </w:r>
      <w:r>
        <w:rPr>
          <w:rFonts w:ascii="Times New Roman" w:hAnsi="Times New Roman" w:eastAsia="仿宋"/>
          <w:b/>
          <w:bCs/>
          <w:sz w:val="21"/>
          <w:szCs w:val="21"/>
        </w:rPr>
        <w:t>-1场地环境调查工作进度计划表</w:t>
      </w:r>
    </w:p>
    <w:p>
      <w:pPr>
        <w:rPr>
          <w:rFonts w:ascii="Times New Roman" w:hAnsi="Times New Roman" w:eastAsia="仿宋"/>
          <w:sz w:val="30"/>
          <w:szCs w:val="30"/>
        </w:rPr>
        <w:sectPr>
          <w:pgSz w:w="11906" w:h="16838"/>
          <w:pgMar w:top="1440" w:right="1080" w:bottom="1440" w:left="1080" w:header="851" w:footer="992" w:gutter="284"/>
          <w:pgNumType w:fmt="decimal"/>
          <w:cols w:space="720" w:num="1"/>
          <w:docGrid w:type="lines" w:linePitch="312" w:charSpace="0"/>
        </w:sectPr>
      </w:pP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296"/>
        <w:gridCol w:w="4454"/>
        <w:gridCol w:w="1318"/>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432" w:type="pct"/>
            <w:vAlign w:val="center"/>
          </w:tcPr>
          <w:p>
            <w:pPr>
              <w:adjustRightInd w:val="0"/>
              <w:snapToGrid w:val="0"/>
              <w:jc w:val="center"/>
              <w:rPr>
                <w:rFonts w:ascii="Times New Roman" w:hAnsi="Times New Roman" w:eastAsia="仿宋"/>
                <w:b/>
                <w:szCs w:val="21"/>
              </w:rPr>
            </w:pPr>
            <w:r>
              <w:rPr>
                <w:rFonts w:ascii="Times New Roman" w:hAnsi="Times New Roman" w:eastAsia="仿宋"/>
                <w:b/>
                <w:szCs w:val="21"/>
              </w:rPr>
              <w:t>序号</w:t>
            </w:r>
          </w:p>
        </w:tc>
        <w:tc>
          <w:tcPr>
            <w:tcW w:w="768" w:type="pct"/>
            <w:vAlign w:val="center"/>
          </w:tcPr>
          <w:p>
            <w:pPr>
              <w:adjustRightInd w:val="0"/>
              <w:snapToGrid w:val="0"/>
              <w:jc w:val="center"/>
              <w:rPr>
                <w:rFonts w:ascii="Times New Roman" w:hAnsi="Times New Roman" w:eastAsia="仿宋"/>
                <w:b/>
                <w:szCs w:val="21"/>
              </w:rPr>
            </w:pPr>
            <w:r>
              <w:rPr>
                <w:rFonts w:ascii="Times New Roman" w:hAnsi="Times New Roman" w:eastAsia="仿宋"/>
                <w:b/>
                <w:szCs w:val="21"/>
              </w:rPr>
              <w:t>项目</w:t>
            </w:r>
          </w:p>
        </w:tc>
        <w:tc>
          <w:tcPr>
            <w:tcW w:w="2639" w:type="pct"/>
            <w:vAlign w:val="center"/>
          </w:tcPr>
          <w:p>
            <w:pPr>
              <w:adjustRightInd w:val="0"/>
              <w:snapToGrid w:val="0"/>
              <w:jc w:val="center"/>
              <w:rPr>
                <w:rFonts w:ascii="Times New Roman" w:hAnsi="Times New Roman" w:eastAsia="仿宋"/>
                <w:b/>
                <w:szCs w:val="21"/>
              </w:rPr>
            </w:pPr>
            <w:r>
              <w:rPr>
                <w:rFonts w:ascii="Times New Roman" w:hAnsi="Times New Roman" w:eastAsia="仿宋"/>
                <w:b/>
                <w:szCs w:val="21"/>
              </w:rPr>
              <w:t>主要内容</w:t>
            </w:r>
          </w:p>
        </w:tc>
        <w:tc>
          <w:tcPr>
            <w:tcW w:w="781" w:type="pct"/>
            <w:vAlign w:val="center"/>
          </w:tcPr>
          <w:p>
            <w:pPr>
              <w:adjustRightInd w:val="0"/>
              <w:snapToGrid w:val="0"/>
              <w:jc w:val="center"/>
              <w:rPr>
                <w:rFonts w:ascii="Times New Roman" w:hAnsi="Times New Roman" w:eastAsia="仿宋"/>
                <w:b/>
                <w:szCs w:val="21"/>
              </w:rPr>
            </w:pPr>
            <w:r>
              <w:rPr>
                <w:rFonts w:ascii="Times New Roman" w:hAnsi="Times New Roman" w:eastAsia="仿宋"/>
                <w:b/>
                <w:szCs w:val="21"/>
              </w:rPr>
              <w:t>计划时间（工作日）</w:t>
            </w:r>
          </w:p>
        </w:tc>
        <w:tc>
          <w:tcPr>
            <w:tcW w:w="378" w:type="pct"/>
            <w:vAlign w:val="center"/>
          </w:tcPr>
          <w:p>
            <w:pPr>
              <w:adjustRightInd w:val="0"/>
              <w:snapToGrid w:val="0"/>
              <w:jc w:val="center"/>
              <w:rPr>
                <w:rFonts w:ascii="Times New Roman" w:hAnsi="Times New Roman" w:eastAsia="仿宋"/>
                <w:b/>
                <w:szCs w:val="21"/>
              </w:rPr>
            </w:pPr>
            <w:r>
              <w:rPr>
                <w:rFonts w:ascii="Times New Roman" w:hAnsi="Times New Roman" w:eastAsia="仿宋"/>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432" w:type="pct"/>
            <w:vAlign w:val="center"/>
          </w:tcPr>
          <w:p>
            <w:pPr>
              <w:adjustRightInd w:val="0"/>
              <w:snapToGrid w:val="0"/>
              <w:jc w:val="center"/>
              <w:rPr>
                <w:rFonts w:ascii="Times New Roman" w:hAnsi="Times New Roman" w:eastAsia="仿宋"/>
                <w:szCs w:val="21"/>
              </w:rPr>
            </w:pPr>
            <w:r>
              <w:rPr>
                <w:rFonts w:ascii="Times New Roman" w:hAnsi="Times New Roman" w:eastAsia="仿宋"/>
                <w:szCs w:val="21"/>
              </w:rPr>
              <w:t>1</w:t>
            </w:r>
          </w:p>
        </w:tc>
        <w:tc>
          <w:tcPr>
            <w:tcW w:w="768" w:type="pct"/>
            <w:vAlign w:val="center"/>
          </w:tcPr>
          <w:p>
            <w:pPr>
              <w:adjustRightInd w:val="0"/>
              <w:snapToGrid w:val="0"/>
              <w:jc w:val="center"/>
              <w:rPr>
                <w:rFonts w:ascii="Times New Roman" w:hAnsi="Times New Roman" w:eastAsia="仿宋"/>
                <w:szCs w:val="21"/>
              </w:rPr>
            </w:pPr>
            <w:r>
              <w:rPr>
                <w:rFonts w:ascii="Times New Roman" w:hAnsi="Times New Roman" w:eastAsia="仿宋"/>
                <w:szCs w:val="21"/>
              </w:rPr>
              <w:t>资料收集与现场踏勘</w:t>
            </w:r>
          </w:p>
        </w:tc>
        <w:tc>
          <w:tcPr>
            <w:tcW w:w="2639" w:type="pct"/>
            <w:vAlign w:val="center"/>
          </w:tcPr>
          <w:p>
            <w:pPr>
              <w:adjustRightInd w:val="0"/>
              <w:snapToGrid w:val="0"/>
              <w:jc w:val="left"/>
              <w:rPr>
                <w:rFonts w:ascii="Times New Roman" w:hAnsi="Times New Roman" w:eastAsia="仿宋"/>
                <w:szCs w:val="21"/>
              </w:rPr>
            </w:pPr>
            <w:r>
              <w:rPr>
                <w:rFonts w:ascii="Times New Roman" w:hAnsi="Times New Roman" w:eastAsia="仿宋"/>
                <w:szCs w:val="21"/>
              </w:rPr>
              <w:t>收集与企业相关的资料，主要包括场地利用资料、平面布置、工艺流程、原辅材料等；对场地进行现场踏勘，初步识别场地环境概况，指导调查方案编制</w:t>
            </w:r>
          </w:p>
        </w:tc>
        <w:tc>
          <w:tcPr>
            <w:tcW w:w="781" w:type="pct"/>
            <w:vAlign w:val="center"/>
          </w:tcPr>
          <w:p>
            <w:pPr>
              <w:adjustRightInd w:val="0"/>
              <w:snapToGrid w:val="0"/>
              <w:jc w:val="center"/>
              <w:rPr>
                <w:rFonts w:hint="eastAsia" w:ascii="Times New Roman" w:hAnsi="Times New Roman" w:eastAsia="仿宋"/>
                <w:szCs w:val="21"/>
                <w:lang w:eastAsia="zh-CN"/>
              </w:rPr>
            </w:pPr>
            <w:r>
              <w:rPr>
                <w:rFonts w:hint="eastAsia" w:ascii="Times New Roman" w:hAnsi="Times New Roman" w:eastAsia="仿宋"/>
                <w:szCs w:val="21"/>
                <w:lang w:val="en-US" w:eastAsia="zh-CN"/>
              </w:rPr>
              <w:t>7</w:t>
            </w:r>
          </w:p>
        </w:tc>
        <w:tc>
          <w:tcPr>
            <w:tcW w:w="378" w:type="pct"/>
            <w:vAlign w:val="center"/>
          </w:tcPr>
          <w:p>
            <w:pPr>
              <w:adjustRightInd w:val="0"/>
              <w:snapToGrid w:val="0"/>
              <w:jc w:val="center"/>
              <w:rPr>
                <w:rFonts w:ascii="Times New Roman" w:hAnsi="Times New Roman"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432" w:type="pct"/>
            <w:vAlign w:val="center"/>
          </w:tcPr>
          <w:p>
            <w:pPr>
              <w:adjustRightInd w:val="0"/>
              <w:snapToGrid w:val="0"/>
              <w:jc w:val="center"/>
              <w:rPr>
                <w:rFonts w:ascii="Times New Roman" w:hAnsi="Times New Roman" w:eastAsia="仿宋"/>
                <w:szCs w:val="21"/>
              </w:rPr>
            </w:pPr>
            <w:r>
              <w:rPr>
                <w:rFonts w:ascii="Times New Roman" w:hAnsi="Times New Roman" w:eastAsia="仿宋"/>
                <w:szCs w:val="21"/>
              </w:rPr>
              <w:t>2</w:t>
            </w:r>
          </w:p>
        </w:tc>
        <w:tc>
          <w:tcPr>
            <w:tcW w:w="768" w:type="pct"/>
            <w:vAlign w:val="center"/>
          </w:tcPr>
          <w:p>
            <w:pPr>
              <w:adjustRightInd w:val="0"/>
              <w:snapToGrid w:val="0"/>
              <w:jc w:val="center"/>
              <w:rPr>
                <w:rFonts w:ascii="Times New Roman" w:hAnsi="Times New Roman" w:eastAsia="仿宋"/>
                <w:szCs w:val="21"/>
              </w:rPr>
            </w:pPr>
            <w:r>
              <w:rPr>
                <w:rFonts w:ascii="Times New Roman" w:hAnsi="Times New Roman" w:eastAsia="仿宋"/>
                <w:szCs w:val="21"/>
              </w:rPr>
              <w:t>编制</w:t>
            </w:r>
            <w:r>
              <w:rPr>
                <w:rFonts w:hint="eastAsia" w:ascii="Times New Roman" w:hAnsi="Times New Roman" w:eastAsia="仿宋"/>
                <w:szCs w:val="21"/>
              </w:rPr>
              <w:t>自行监测</w:t>
            </w:r>
            <w:r>
              <w:rPr>
                <w:rFonts w:ascii="Times New Roman" w:hAnsi="Times New Roman" w:eastAsia="仿宋"/>
                <w:szCs w:val="21"/>
              </w:rPr>
              <w:t>方案</w:t>
            </w:r>
          </w:p>
        </w:tc>
        <w:tc>
          <w:tcPr>
            <w:tcW w:w="2639" w:type="pct"/>
            <w:vAlign w:val="center"/>
          </w:tcPr>
          <w:p>
            <w:pPr>
              <w:adjustRightInd w:val="0"/>
              <w:snapToGrid w:val="0"/>
              <w:jc w:val="left"/>
              <w:rPr>
                <w:rFonts w:ascii="Times New Roman" w:hAnsi="Times New Roman" w:eastAsia="仿宋"/>
                <w:szCs w:val="21"/>
              </w:rPr>
            </w:pPr>
            <w:r>
              <w:rPr>
                <w:rFonts w:ascii="Times New Roman" w:hAnsi="Times New Roman" w:eastAsia="仿宋"/>
                <w:szCs w:val="21"/>
              </w:rPr>
              <w:t>根据《</w:t>
            </w:r>
            <w:r>
              <w:rPr>
                <w:rFonts w:hint="eastAsia" w:ascii="Times New Roman" w:hAnsi="Times New Roman" w:eastAsia="仿宋"/>
                <w:szCs w:val="21"/>
              </w:rPr>
              <w:t>建设用地土壤污染状况调查技术导则</w:t>
            </w:r>
            <w:r>
              <w:rPr>
                <w:rFonts w:ascii="Times New Roman" w:hAnsi="Times New Roman" w:eastAsia="仿宋"/>
                <w:szCs w:val="21"/>
              </w:rPr>
              <w:t>》、《</w:t>
            </w:r>
            <w:r>
              <w:rPr>
                <w:rFonts w:hint="eastAsia" w:ascii="Times New Roman" w:hAnsi="Times New Roman" w:eastAsia="仿宋"/>
                <w:szCs w:val="21"/>
              </w:rPr>
              <w:t>建设用地土壤污染风险管控和修复 监测技术导则</w:t>
            </w:r>
            <w:r>
              <w:rPr>
                <w:rFonts w:ascii="Times New Roman" w:hAnsi="Times New Roman" w:eastAsia="仿宋"/>
                <w:szCs w:val="21"/>
              </w:rPr>
              <w:t>》</w:t>
            </w:r>
            <w:r>
              <w:rPr>
                <w:rFonts w:hint="eastAsia" w:ascii="Times New Roman" w:hAnsi="Times New Roman" w:eastAsia="仿宋"/>
                <w:szCs w:val="21"/>
              </w:rPr>
              <w:t>、《在产企业土壤和地下水自行监测技术指南（报批稿）》</w:t>
            </w:r>
            <w:r>
              <w:rPr>
                <w:rFonts w:ascii="Times New Roman" w:hAnsi="Times New Roman" w:eastAsia="仿宋"/>
                <w:szCs w:val="21"/>
              </w:rPr>
              <w:t>等规范要求，编制初步调查方案，主要明确采样点位布置、采样数量与深度、监测指标等</w:t>
            </w:r>
          </w:p>
        </w:tc>
        <w:tc>
          <w:tcPr>
            <w:tcW w:w="781" w:type="pct"/>
            <w:vAlign w:val="center"/>
          </w:tcPr>
          <w:p>
            <w:pPr>
              <w:adjustRightInd w:val="0"/>
              <w:snapToGrid w:val="0"/>
              <w:jc w:val="center"/>
              <w:rPr>
                <w:rFonts w:hint="eastAsia" w:ascii="Times New Roman" w:hAnsi="Times New Roman" w:eastAsia="仿宋"/>
                <w:szCs w:val="21"/>
                <w:lang w:eastAsia="zh-CN"/>
              </w:rPr>
            </w:pPr>
            <w:r>
              <w:rPr>
                <w:rFonts w:hint="eastAsia" w:ascii="Times New Roman" w:hAnsi="Times New Roman" w:eastAsia="仿宋"/>
                <w:szCs w:val="21"/>
                <w:lang w:val="en-US" w:eastAsia="zh-CN"/>
              </w:rPr>
              <w:t>8</w:t>
            </w:r>
          </w:p>
        </w:tc>
        <w:tc>
          <w:tcPr>
            <w:tcW w:w="378" w:type="pct"/>
            <w:vAlign w:val="center"/>
          </w:tcPr>
          <w:p>
            <w:pPr>
              <w:adjustRightInd w:val="0"/>
              <w:snapToGrid w:val="0"/>
              <w:jc w:val="center"/>
              <w:rPr>
                <w:rFonts w:ascii="Times New Roman" w:hAnsi="Times New Roman"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432" w:type="pct"/>
            <w:vAlign w:val="center"/>
          </w:tcPr>
          <w:p>
            <w:pPr>
              <w:adjustRightInd w:val="0"/>
              <w:snapToGrid w:val="0"/>
              <w:jc w:val="center"/>
              <w:rPr>
                <w:rFonts w:ascii="Times New Roman" w:hAnsi="Times New Roman" w:eastAsia="仿宋"/>
                <w:szCs w:val="21"/>
              </w:rPr>
            </w:pPr>
            <w:r>
              <w:rPr>
                <w:rFonts w:ascii="Times New Roman" w:hAnsi="Times New Roman" w:eastAsia="仿宋"/>
                <w:szCs w:val="21"/>
              </w:rPr>
              <w:t>3</w:t>
            </w:r>
          </w:p>
        </w:tc>
        <w:tc>
          <w:tcPr>
            <w:tcW w:w="768" w:type="pct"/>
            <w:vAlign w:val="center"/>
          </w:tcPr>
          <w:p>
            <w:pPr>
              <w:adjustRightInd w:val="0"/>
              <w:snapToGrid w:val="0"/>
              <w:jc w:val="center"/>
              <w:rPr>
                <w:rFonts w:ascii="Times New Roman" w:hAnsi="Times New Roman" w:eastAsia="仿宋"/>
                <w:szCs w:val="21"/>
              </w:rPr>
            </w:pPr>
            <w:r>
              <w:rPr>
                <w:rFonts w:ascii="Times New Roman" w:hAnsi="Times New Roman" w:eastAsia="仿宋"/>
                <w:szCs w:val="21"/>
              </w:rPr>
              <w:t>现场采样</w:t>
            </w:r>
          </w:p>
        </w:tc>
        <w:tc>
          <w:tcPr>
            <w:tcW w:w="2639" w:type="pct"/>
            <w:vAlign w:val="center"/>
          </w:tcPr>
          <w:p>
            <w:pPr>
              <w:adjustRightInd w:val="0"/>
              <w:snapToGrid w:val="0"/>
              <w:jc w:val="left"/>
              <w:rPr>
                <w:rFonts w:ascii="Times New Roman" w:hAnsi="Times New Roman" w:eastAsia="仿宋"/>
                <w:szCs w:val="21"/>
              </w:rPr>
            </w:pPr>
            <w:r>
              <w:rPr>
                <w:rFonts w:ascii="Times New Roman" w:hAnsi="Times New Roman" w:eastAsia="仿宋"/>
                <w:szCs w:val="21"/>
              </w:rPr>
              <w:t>采用</w:t>
            </w:r>
            <w:r>
              <w:rPr>
                <w:rFonts w:hint="eastAsia" w:ascii="Times New Roman" w:hAnsi="Times New Roman" w:eastAsia="仿宋"/>
                <w:szCs w:val="21"/>
              </w:rPr>
              <w:t>手钻</w:t>
            </w:r>
            <w:r>
              <w:rPr>
                <w:rFonts w:ascii="Times New Roman" w:hAnsi="Times New Roman" w:eastAsia="仿宋"/>
                <w:szCs w:val="21"/>
              </w:rPr>
              <w:t>和贝勒管，对场地土壤及地下水进行样品采集；现场采样期间使用PID、XRF等手持设备对样品进行快速检测。必要时进行现场水文地质调查。</w:t>
            </w:r>
          </w:p>
        </w:tc>
        <w:tc>
          <w:tcPr>
            <w:tcW w:w="781" w:type="pct"/>
            <w:vAlign w:val="center"/>
          </w:tcPr>
          <w:p>
            <w:pPr>
              <w:adjustRightInd w:val="0"/>
              <w:snapToGrid w:val="0"/>
              <w:jc w:val="center"/>
              <w:rPr>
                <w:rFonts w:ascii="Times New Roman" w:hAnsi="Times New Roman" w:eastAsia="仿宋"/>
                <w:szCs w:val="21"/>
              </w:rPr>
            </w:pPr>
            <w:r>
              <w:rPr>
                <w:rFonts w:hint="eastAsia" w:ascii="Times New Roman" w:hAnsi="Times New Roman" w:eastAsia="仿宋"/>
                <w:szCs w:val="21"/>
                <w:lang w:val="en-US" w:eastAsia="zh-CN"/>
              </w:rPr>
              <w:t>4</w:t>
            </w:r>
            <w:r>
              <w:rPr>
                <w:rFonts w:ascii="Times New Roman" w:hAnsi="Times New Roman" w:eastAsia="仿宋"/>
                <w:szCs w:val="21"/>
              </w:rPr>
              <w:t>（天雨顺延）</w:t>
            </w:r>
          </w:p>
        </w:tc>
        <w:tc>
          <w:tcPr>
            <w:tcW w:w="378" w:type="pct"/>
            <w:vAlign w:val="center"/>
          </w:tcPr>
          <w:p>
            <w:pPr>
              <w:adjustRightInd w:val="0"/>
              <w:snapToGrid w:val="0"/>
              <w:jc w:val="center"/>
              <w:rPr>
                <w:rFonts w:ascii="Times New Roman" w:hAnsi="Times New Roman"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432" w:type="pct"/>
            <w:vAlign w:val="center"/>
          </w:tcPr>
          <w:p>
            <w:pPr>
              <w:adjustRightInd w:val="0"/>
              <w:snapToGrid w:val="0"/>
              <w:jc w:val="center"/>
              <w:rPr>
                <w:rFonts w:ascii="Times New Roman" w:hAnsi="Times New Roman" w:eastAsia="仿宋"/>
                <w:szCs w:val="21"/>
              </w:rPr>
            </w:pPr>
            <w:r>
              <w:rPr>
                <w:rFonts w:ascii="Times New Roman" w:hAnsi="Times New Roman" w:eastAsia="仿宋"/>
                <w:szCs w:val="21"/>
              </w:rPr>
              <w:t>4</w:t>
            </w:r>
          </w:p>
        </w:tc>
        <w:tc>
          <w:tcPr>
            <w:tcW w:w="768" w:type="pct"/>
            <w:vAlign w:val="center"/>
          </w:tcPr>
          <w:p>
            <w:pPr>
              <w:adjustRightInd w:val="0"/>
              <w:snapToGrid w:val="0"/>
              <w:jc w:val="center"/>
              <w:rPr>
                <w:rFonts w:ascii="Times New Roman" w:hAnsi="Times New Roman" w:eastAsia="仿宋"/>
                <w:szCs w:val="21"/>
              </w:rPr>
            </w:pPr>
            <w:r>
              <w:rPr>
                <w:rFonts w:ascii="Times New Roman" w:hAnsi="Times New Roman" w:eastAsia="仿宋"/>
                <w:szCs w:val="21"/>
              </w:rPr>
              <w:t>实验室检测</w:t>
            </w:r>
          </w:p>
        </w:tc>
        <w:tc>
          <w:tcPr>
            <w:tcW w:w="2639" w:type="pct"/>
            <w:vAlign w:val="center"/>
          </w:tcPr>
          <w:p>
            <w:pPr>
              <w:adjustRightInd w:val="0"/>
              <w:snapToGrid w:val="0"/>
              <w:jc w:val="left"/>
              <w:rPr>
                <w:rFonts w:ascii="Times New Roman" w:hAnsi="Times New Roman" w:eastAsia="仿宋"/>
                <w:szCs w:val="21"/>
              </w:rPr>
            </w:pPr>
            <w:r>
              <w:rPr>
                <w:rFonts w:ascii="Times New Roman" w:hAnsi="Times New Roman" w:eastAsia="仿宋"/>
                <w:szCs w:val="21"/>
              </w:rPr>
              <w:t>根据《</w:t>
            </w:r>
            <w:r>
              <w:rPr>
                <w:rFonts w:hint="eastAsia" w:ascii="Times New Roman" w:hAnsi="Times New Roman" w:eastAsia="仿宋"/>
                <w:szCs w:val="21"/>
              </w:rPr>
              <w:t>建设用地土壤污染风险管控和修复 监测技术导则</w:t>
            </w:r>
            <w:r>
              <w:rPr>
                <w:rFonts w:ascii="Times New Roman" w:hAnsi="Times New Roman" w:eastAsia="仿宋"/>
                <w:szCs w:val="21"/>
              </w:rPr>
              <w:t>》要求，委托具备资质的第三方实验室对土壤及地下水样品进行分析检测</w:t>
            </w:r>
          </w:p>
        </w:tc>
        <w:tc>
          <w:tcPr>
            <w:tcW w:w="781" w:type="pct"/>
            <w:vAlign w:val="center"/>
          </w:tcPr>
          <w:p>
            <w:pPr>
              <w:adjustRightInd w:val="0"/>
              <w:snapToGrid w:val="0"/>
              <w:jc w:val="center"/>
              <w:rPr>
                <w:rFonts w:ascii="Times New Roman" w:hAnsi="Times New Roman" w:eastAsia="仿宋"/>
                <w:szCs w:val="21"/>
              </w:rPr>
            </w:pPr>
            <w:r>
              <w:rPr>
                <w:rFonts w:hint="eastAsia" w:ascii="Times New Roman" w:hAnsi="Times New Roman" w:eastAsia="仿宋"/>
                <w:szCs w:val="21"/>
              </w:rPr>
              <w:t>16</w:t>
            </w:r>
          </w:p>
        </w:tc>
        <w:tc>
          <w:tcPr>
            <w:tcW w:w="378" w:type="pct"/>
            <w:vAlign w:val="center"/>
          </w:tcPr>
          <w:p>
            <w:pPr>
              <w:adjustRightInd w:val="0"/>
              <w:snapToGrid w:val="0"/>
              <w:jc w:val="center"/>
              <w:rPr>
                <w:rFonts w:ascii="Times New Roman" w:hAnsi="Times New Roman"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trPr>
        <w:tc>
          <w:tcPr>
            <w:tcW w:w="432" w:type="pct"/>
            <w:vAlign w:val="center"/>
          </w:tcPr>
          <w:p>
            <w:pPr>
              <w:adjustRightInd w:val="0"/>
              <w:snapToGrid w:val="0"/>
              <w:jc w:val="center"/>
              <w:rPr>
                <w:rFonts w:ascii="Times New Roman" w:hAnsi="Times New Roman" w:eastAsia="仿宋"/>
                <w:szCs w:val="21"/>
              </w:rPr>
            </w:pPr>
            <w:r>
              <w:rPr>
                <w:rFonts w:hint="eastAsia" w:ascii="Times New Roman" w:hAnsi="Times New Roman" w:eastAsia="仿宋"/>
                <w:szCs w:val="21"/>
              </w:rPr>
              <w:t>5</w:t>
            </w:r>
          </w:p>
        </w:tc>
        <w:tc>
          <w:tcPr>
            <w:tcW w:w="768" w:type="pct"/>
            <w:vAlign w:val="center"/>
          </w:tcPr>
          <w:p>
            <w:pPr>
              <w:adjustRightInd w:val="0"/>
              <w:snapToGrid w:val="0"/>
              <w:jc w:val="center"/>
              <w:rPr>
                <w:rFonts w:ascii="仿宋" w:hAnsi="仿宋" w:eastAsia="仿宋"/>
                <w:szCs w:val="21"/>
              </w:rPr>
            </w:pPr>
            <w:r>
              <w:rPr>
                <w:rFonts w:hint="eastAsia" w:ascii="仿宋" w:hAnsi="仿宋" w:eastAsia="仿宋"/>
                <w:szCs w:val="21"/>
              </w:rPr>
              <w:t>隐患排查报告编制</w:t>
            </w:r>
          </w:p>
        </w:tc>
        <w:tc>
          <w:tcPr>
            <w:tcW w:w="2639" w:type="pct"/>
            <w:vAlign w:val="center"/>
          </w:tcPr>
          <w:p>
            <w:pPr>
              <w:adjustRightInd w:val="0"/>
              <w:snapToGrid w:val="0"/>
              <w:jc w:val="left"/>
              <w:rPr>
                <w:rFonts w:ascii="仿宋" w:hAnsi="仿宋" w:eastAsia="仿宋"/>
                <w:szCs w:val="21"/>
              </w:rPr>
            </w:pPr>
            <w:r>
              <w:rPr>
                <w:rFonts w:hint="eastAsia" w:ascii="仿宋" w:hAnsi="仿宋" w:eastAsia="仿宋"/>
                <w:szCs w:val="21"/>
              </w:rPr>
              <w:t>编制隐患排查报告，明确地块土壤是否存在污染隐患，并提出整改建议。</w:t>
            </w:r>
          </w:p>
        </w:tc>
        <w:tc>
          <w:tcPr>
            <w:tcW w:w="781" w:type="pct"/>
            <w:vAlign w:val="center"/>
          </w:tcPr>
          <w:p>
            <w:pPr>
              <w:adjustRightInd w:val="0"/>
              <w:snapToGrid w:val="0"/>
              <w:jc w:val="center"/>
              <w:rPr>
                <w:rFonts w:hint="eastAsia" w:ascii="Times New Roman" w:hAnsi="Times New Roman" w:eastAsia="仿宋"/>
                <w:szCs w:val="21"/>
                <w:lang w:eastAsia="zh-CN"/>
              </w:rPr>
            </w:pPr>
            <w:r>
              <w:rPr>
                <w:rFonts w:hint="eastAsia" w:ascii="Times New Roman" w:hAnsi="Times New Roman" w:eastAsia="仿宋"/>
                <w:szCs w:val="21"/>
              </w:rPr>
              <w:t>1</w:t>
            </w:r>
            <w:r>
              <w:rPr>
                <w:rFonts w:hint="eastAsia" w:ascii="Times New Roman" w:hAnsi="Times New Roman" w:eastAsia="仿宋"/>
                <w:szCs w:val="21"/>
                <w:lang w:val="en-US" w:eastAsia="zh-CN"/>
              </w:rPr>
              <w:t>0</w:t>
            </w:r>
          </w:p>
        </w:tc>
        <w:tc>
          <w:tcPr>
            <w:tcW w:w="378" w:type="pct"/>
            <w:vAlign w:val="center"/>
          </w:tcPr>
          <w:p>
            <w:pPr>
              <w:adjustRightInd w:val="0"/>
              <w:snapToGrid w:val="0"/>
              <w:jc w:val="center"/>
              <w:rPr>
                <w:rFonts w:ascii="Times New Roman" w:hAnsi="Times New Roman"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432" w:type="pct"/>
            <w:vAlign w:val="center"/>
          </w:tcPr>
          <w:p>
            <w:pPr>
              <w:adjustRightInd w:val="0"/>
              <w:snapToGrid w:val="0"/>
              <w:jc w:val="center"/>
              <w:rPr>
                <w:rFonts w:hint="eastAsia" w:ascii="Times New Roman" w:hAnsi="Times New Roman" w:eastAsia="仿宋"/>
                <w:szCs w:val="21"/>
                <w:lang w:eastAsia="zh-CN"/>
              </w:rPr>
            </w:pPr>
            <w:r>
              <w:rPr>
                <w:rFonts w:hint="eastAsia" w:ascii="Times New Roman" w:hAnsi="Times New Roman" w:eastAsia="仿宋"/>
                <w:szCs w:val="21"/>
                <w:lang w:val="en-US" w:eastAsia="zh-CN"/>
              </w:rPr>
              <w:t>6</w:t>
            </w:r>
          </w:p>
        </w:tc>
        <w:tc>
          <w:tcPr>
            <w:tcW w:w="768" w:type="pct"/>
            <w:vAlign w:val="center"/>
          </w:tcPr>
          <w:p>
            <w:pPr>
              <w:adjustRightInd w:val="0"/>
              <w:snapToGrid w:val="0"/>
              <w:jc w:val="center"/>
              <w:rPr>
                <w:rFonts w:ascii="Times New Roman" w:hAnsi="Times New Roman" w:eastAsia="仿宋"/>
                <w:szCs w:val="21"/>
              </w:rPr>
            </w:pPr>
            <w:r>
              <w:rPr>
                <w:rFonts w:hint="eastAsia" w:ascii="Times New Roman" w:hAnsi="Times New Roman" w:eastAsia="仿宋"/>
                <w:szCs w:val="21"/>
              </w:rPr>
              <w:t>自行监测</w:t>
            </w:r>
            <w:r>
              <w:rPr>
                <w:rFonts w:ascii="Times New Roman" w:hAnsi="Times New Roman" w:eastAsia="仿宋"/>
                <w:szCs w:val="21"/>
              </w:rPr>
              <w:t>报告编制</w:t>
            </w:r>
          </w:p>
        </w:tc>
        <w:tc>
          <w:tcPr>
            <w:tcW w:w="2639" w:type="pct"/>
            <w:vAlign w:val="center"/>
          </w:tcPr>
          <w:p>
            <w:pPr>
              <w:adjustRightInd w:val="0"/>
              <w:snapToGrid w:val="0"/>
              <w:jc w:val="left"/>
              <w:rPr>
                <w:rFonts w:ascii="Times New Roman" w:hAnsi="Times New Roman" w:eastAsia="仿宋"/>
                <w:szCs w:val="21"/>
              </w:rPr>
            </w:pPr>
            <w:r>
              <w:rPr>
                <w:rFonts w:ascii="Times New Roman" w:hAnsi="Times New Roman" w:eastAsia="仿宋"/>
                <w:szCs w:val="21"/>
              </w:rPr>
              <w:t>编制</w:t>
            </w:r>
            <w:r>
              <w:rPr>
                <w:rFonts w:hint="eastAsia" w:ascii="Times New Roman" w:hAnsi="Times New Roman" w:eastAsia="仿宋"/>
                <w:szCs w:val="21"/>
              </w:rPr>
              <w:t>自行监测</w:t>
            </w:r>
            <w:r>
              <w:rPr>
                <w:rFonts w:ascii="Times New Roman" w:hAnsi="Times New Roman" w:eastAsia="仿宋"/>
                <w:szCs w:val="21"/>
              </w:rPr>
              <w:t>报告，明确地块土壤及地下水环境质量现状并提出土壤及地下水环境防治建议</w:t>
            </w:r>
          </w:p>
        </w:tc>
        <w:tc>
          <w:tcPr>
            <w:tcW w:w="781" w:type="pct"/>
            <w:vAlign w:val="center"/>
          </w:tcPr>
          <w:p>
            <w:pPr>
              <w:adjustRightInd w:val="0"/>
              <w:snapToGrid w:val="0"/>
              <w:jc w:val="center"/>
              <w:rPr>
                <w:rFonts w:hint="default" w:ascii="Times New Roman" w:hAnsi="Times New Roman" w:eastAsia="仿宋"/>
                <w:szCs w:val="21"/>
                <w:lang w:val="en-US" w:eastAsia="zh-CN"/>
              </w:rPr>
            </w:pPr>
            <w:r>
              <w:rPr>
                <w:rFonts w:hint="eastAsia" w:ascii="Times New Roman" w:hAnsi="Times New Roman" w:eastAsia="仿宋"/>
                <w:szCs w:val="21"/>
                <w:lang w:val="en-US" w:eastAsia="zh-CN"/>
              </w:rPr>
              <w:t>10</w:t>
            </w:r>
          </w:p>
        </w:tc>
        <w:tc>
          <w:tcPr>
            <w:tcW w:w="378" w:type="pct"/>
            <w:vAlign w:val="center"/>
          </w:tcPr>
          <w:p>
            <w:pPr>
              <w:adjustRightInd w:val="0"/>
              <w:snapToGrid w:val="0"/>
              <w:jc w:val="center"/>
              <w:rPr>
                <w:rFonts w:ascii="Times New Roman" w:hAnsi="Times New Roman"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32" w:type="pct"/>
            <w:vAlign w:val="center"/>
          </w:tcPr>
          <w:p>
            <w:pPr>
              <w:adjustRightInd w:val="0"/>
              <w:snapToGrid w:val="0"/>
              <w:jc w:val="center"/>
              <w:rPr>
                <w:rFonts w:ascii="Times New Roman" w:hAnsi="Times New Roman" w:eastAsia="仿宋"/>
                <w:b/>
                <w:szCs w:val="21"/>
              </w:rPr>
            </w:pPr>
            <w:r>
              <w:rPr>
                <w:rFonts w:ascii="Times New Roman" w:hAnsi="Times New Roman" w:eastAsia="仿宋"/>
                <w:b/>
                <w:szCs w:val="21"/>
              </w:rPr>
              <w:t>合计</w:t>
            </w:r>
          </w:p>
        </w:tc>
        <w:tc>
          <w:tcPr>
            <w:tcW w:w="768" w:type="pct"/>
            <w:vAlign w:val="center"/>
          </w:tcPr>
          <w:p>
            <w:pPr>
              <w:adjustRightInd w:val="0"/>
              <w:snapToGrid w:val="0"/>
              <w:jc w:val="center"/>
              <w:rPr>
                <w:rFonts w:ascii="Times New Roman" w:hAnsi="Times New Roman" w:eastAsia="仿宋"/>
                <w:b/>
                <w:szCs w:val="21"/>
              </w:rPr>
            </w:pPr>
          </w:p>
        </w:tc>
        <w:tc>
          <w:tcPr>
            <w:tcW w:w="2639" w:type="pct"/>
            <w:vAlign w:val="center"/>
          </w:tcPr>
          <w:p>
            <w:pPr>
              <w:adjustRightInd w:val="0"/>
              <w:snapToGrid w:val="0"/>
              <w:jc w:val="center"/>
              <w:rPr>
                <w:rFonts w:ascii="Times New Roman" w:hAnsi="Times New Roman" w:eastAsia="仿宋"/>
                <w:b/>
                <w:szCs w:val="21"/>
              </w:rPr>
            </w:pPr>
          </w:p>
        </w:tc>
        <w:tc>
          <w:tcPr>
            <w:tcW w:w="781" w:type="pct"/>
            <w:vAlign w:val="center"/>
          </w:tcPr>
          <w:p>
            <w:pPr>
              <w:adjustRightInd w:val="0"/>
              <w:snapToGrid w:val="0"/>
              <w:jc w:val="center"/>
              <w:rPr>
                <w:rFonts w:ascii="Times New Roman" w:hAnsi="Times New Roman" w:eastAsia="仿宋"/>
                <w:b/>
                <w:szCs w:val="21"/>
              </w:rPr>
            </w:pPr>
            <w:r>
              <w:rPr>
                <w:rFonts w:hint="eastAsia" w:ascii="Times New Roman" w:hAnsi="Times New Roman" w:eastAsia="仿宋"/>
                <w:b/>
                <w:szCs w:val="21"/>
                <w:lang w:val="en-US" w:eastAsia="zh-CN"/>
              </w:rPr>
              <w:t>5</w:t>
            </w:r>
            <w:r>
              <w:rPr>
                <w:rFonts w:hint="eastAsia" w:ascii="Times New Roman" w:hAnsi="Times New Roman" w:eastAsia="仿宋"/>
                <w:b/>
                <w:szCs w:val="21"/>
              </w:rPr>
              <w:t>5</w:t>
            </w:r>
          </w:p>
        </w:tc>
        <w:tc>
          <w:tcPr>
            <w:tcW w:w="378" w:type="pct"/>
            <w:vAlign w:val="center"/>
          </w:tcPr>
          <w:p>
            <w:pPr>
              <w:adjustRightInd w:val="0"/>
              <w:snapToGrid w:val="0"/>
              <w:jc w:val="center"/>
              <w:rPr>
                <w:rFonts w:ascii="Times New Roman" w:hAnsi="Times New Roman" w:eastAsia="仿宋"/>
                <w:b/>
                <w:szCs w:val="21"/>
              </w:rPr>
            </w:pPr>
          </w:p>
        </w:tc>
      </w:tr>
    </w:tbl>
    <w:p>
      <w:pPr>
        <w:rPr>
          <w:rFonts w:ascii="Times New Roman" w:hAnsi="Times New Roman" w:eastAsia="仿宋"/>
          <w:sz w:val="30"/>
          <w:szCs w:val="30"/>
        </w:rPr>
        <w:sectPr>
          <w:type w:val="continuous"/>
          <w:pgSz w:w="11906" w:h="16838"/>
          <w:pgMar w:top="1418" w:right="1701" w:bottom="1418" w:left="1701" w:header="851" w:footer="992" w:gutter="284"/>
          <w:pgNumType w:fmt="decimal"/>
          <w:cols w:space="720" w:num="1"/>
          <w:docGrid w:type="lines" w:linePitch="312" w:charSpace="0"/>
        </w:sectPr>
      </w:pPr>
    </w:p>
    <w:p>
      <w:pPr>
        <w:pStyle w:val="2"/>
        <w:jc w:val="center"/>
      </w:pPr>
      <w:bookmarkStart w:id="323" w:name="_Toc29713"/>
      <w:bookmarkStart w:id="324" w:name="_Toc3108"/>
      <w:bookmarkStart w:id="325" w:name="_Toc15386"/>
      <w:bookmarkStart w:id="326" w:name="_Toc16343"/>
      <w:bookmarkStart w:id="327" w:name="_Toc512351203"/>
      <w:bookmarkStart w:id="328" w:name="_Toc6284"/>
      <w:bookmarkStart w:id="329" w:name="_Toc498199456"/>
      <w:r>
        <w:rPr>
          <w:rStyle w:val="61"/>
          <w:rFonts w:eastAsia="仿宋"/>
          <w:b/>
          <w:sz w:val="32"/>
          <w:szCs w:val="32"/>
        </w:rPr>
        <w:t>第</w:t>
      </w:r>
      <w:r>
        <w:rPr>
          <w:rStyle w:val="61"/>
          <w:rFonts w:hint="eastAsia" w:eastAsia="仿宋"/>
          <w:b/>
          <w:sz w:val="32"/>
          <w:szCs w:val="32"/>
        </w:rPr>
        <w:t>七</w:t>
      </w:r>
      <w:r>
        <w:rPr>
          <w:rStyle w:val="61"/>
          <w:rFonts w:eastAsia="仿宋"/>
          <w:b/>
          <w:sz w:val="32"/>
          <w:szCs w:val="32"/>
        </w:rPr>
        <w:t>章 报告编制及工作建议</w:t>
      </w:r>
      <w:bookmarkEnd w:id="323"/>
      <w:bookmarkEnd w:id="324"/>
      <w:bookmarkEnd w:id="325"/>
      <w:bookmarkEnd w:id="326"/>
      <w:bookmarkEnd w:id="327"/>
      <w:bookmarkEnd w:id="328"/>
      <w:bookmarkEnd w:id="329"/>
    </w:p>
    <w:p>
      <w:pPr>
        <w:pStyle w:val="3"/>
        <w:spacing w:before="120" w:after="120" w:line="360" w:lineRule="auto"/>
        <w:rPr>
          <w:rFonts w:ascii="Times New Roman" w:hAnsi="Times New Roman" w:eastAsia="仿宋"/>
          <w:sz w:val="28"/>
          <w:szCs w:val="30"/>
        </w:rPr>
      </w:pPr>
      <w:bookmarkStart w:id="330" w:name="_Toc16445"/>
      <w:bookmarkStart w:id="331" w:name="_Toc31285"/>
      <w:bookmarkStart w:id="332" w:name="_Toc512351204"/>
      <w:bookmarkStart w:id="333" w:name="_Toc27169"/>
      <w:bookmarkStart w:id="334" w:name="_Toc498199457"/>
      <w:bookmarkStart w:id="335" w:name="_Toc19234"/>
      <w:bookmarkStart w:id="336" w:name="_Toc22857"/>
      <w:r>
        <w:rPr>
          <w:rFonts w:hint="eastAsia" w:ascii="Times New Roman" w:hAnsi="Times New Roman" w:eastAsia="仿宋"/>
          <w:sz w:val="28"/>
          <w:szCs w:val="30"/>
        </w:rPr>
        <w:t>7</w:t>
      </w:r>
      <w:r>
        <w:rPr>
          <w:rFonts w:ascii="Times New Roman" w:hAnsi="Times New Roman" w:eastAsia="仿宋"/>
          <w:sz w:val="28"/>
          <w:szCs w:val="30"/>
        </w:rPr>
        <w:t>.1 报告编制</w:t>
      </w:r>
      <w:bookmarkEnd w:id="330"/>
      <w:bookmarkEnd w:id="331"/>
      <w:bookmarkEnd w:id="332"/>
      <w:bookmarkEnd w:id="333"/>
      <w:bookmarkEnd w:id="334"/>
      <w:bookmarkEnd w:id="335"/>
      <w:bookmarkEnd w:id="336"/>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根据获取的实验室检测数据，进行场地调查报告编制，主要包括以下内容：初步查明场地土层分布结构，查明场地主要污染因子、污染物浓度水平并划定大致污染范围。结合场地后续开发利用规划，判断场地土壤及地下水环境是否满足环境质量要求，若满足环境质量要求，给出明确判断；若不满足环境质量</w:t>
      </w:r>
      <w:r>
        <w:rPr>
          <w:rFonts w:hint="eastAsia" w:ascii="Times New Roman" w:hAnsi="Times New Roman" w:eastAsia="仿宋"/>
          <w:sz w:val="24"/>
          <w:szCs w:val="24"/>
        </w:rPr>
        <w:t>要求</w:t>
      </w:r>
      <w:r>
        <w:rPr>
          <w:rFonts w:ascii="Times New Roman" w:hAnsi="Times New Roman" w:eastAsia="仿宋"/>
          <w:sz w:val="24"/>
          <w:szCs w:val="24"/>
        </w:rPr>
        <w:t>，提出后续详细调查、风险评估等工作的建议。</w:t>
      </w:r>
    </w:p>
    <w:p>
      <w:pPr>
        <w:pStyle w:val="3"/>
        <w:spacing w:before="120" w:after="120" w:line="360" w:lineRule="auto"/>
        <w:rPr>
          <w:rFonts w:ascii="Times New Roman" w:hAnsi="Times New Roman" w:eastAsia="仿宋"/>
          <w:sz w:val="28"/>
          <w:szCs w:val="30"/>
        </w:rPr>
      </w:pPr>
      <w:bookmarkStart w:id="337" w:name="_Toc23698"/>
      <w:bookmarkStart w:id="338" w:name="_Toc512351205"/>
      <w:bookmarkStart w:id="339" w:name="_Toc498199458"/>
      <w:bookmarkStart w:id="340" w:name="_Toc11761"/>
      <w:bookmarkStart w:id="341" w:name="_Toc9114"/>
      <w:bookmarkStart w:id="342" w:name="_Toc24612"/>
      <w:bookmarkStart w:id="343" w:name="_Toc18691"/>
      <w:r>
        <w:rPr>
          <w:rFonts w:hint="eastAsia" w:ascii="Times New Roman" w:hAnsi="Times New Roman" w:eastAsia="仿宋"/>
          <w:sz w:val="28"/>
          <w:szCs w:val="30"/>
        </w:rPr>
        <w:t>7</w:t>
      </w:r>
      <w:r>
        <w:rPr>
          <w:rFonts w:ascii="Times New Roman" w:hAnsi="Times New Roman" w:eastAsia="仿宋"/>
          <w:sz w:val="28"/>
          <w:szCs w:val="30"/>
        </w:rPr>
        <w:t>.2 建议</w:t>
      </w:r>
      <w:bookmarkEnd w:id="337"/>
      <w:bookmarkEnd w:id="338"/>
      <w:bookmarkEnd w:id="339"/>
      <w:bookmarkEnd w:id="340"/>
      <w:bookmarkEnd w:id="341"/>
      <w:bookmarkEnd w:id="342"/>
      <w:bookmarkEnd w:id="343"/>
    </w:p>
    <w:p>
      <w:pPr>
        <w:spacing w:line="360" w:lineRule="auto"/>
        <w:ind w:firstLine="480" w:firstLineChars="200"/>
        <w:rPr>
          <w:rFonts w:ascii="Times New Roman" w:hAnsi="Times New Roman" w:eastAsia="仿宋"/>
          <w:sz w:val="24"/>
          <w:szCs w:val="24"/>
        </w:rPr>
      </w:pPr>
      <w:r>
        <w:rPr>
          <w:rFonts w:ascii="Times New Roman" w:hAnsi="Times New Roman" w:eastAsia="仿宋"/>
          <w:sz w:val="24"/>
          <w:szCs w:val="24"/>
        </w:rPr>
        <w:t>为保障调查顺利开展，建议相关部门保持良好的沟通协调，以确保本次场地环境调查工作能够顺利、有序、安全开展。</w:t>
      </w:r>
      <w:bookmarkEnd w:id="214"/>
      <w:bookmarkEnd w:id="215"/>
    </w:p>
    <w:sectPr>
      <w:pgSz w:w="11906" w:h="16838"/>
      <w:pgMar w:top="1440" w:right="1080" w:bottom="1440" w:left="1080" w:header="851" w:footer="992" w:gutter="284"/>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monospace">
    <w:altName w:val="Segoe Print"/>
    <w:panose1 w:val="00000000000000000000"/>
    <w:charset w:val="00"/>
    <w:family w:val="auto"/>
    <w:pitch w:val="default"/>
    <w:sig w:usb0="00000000" w:usb1="00000000" w:usb2="00000000"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華康特粗楷體">
    <w:altName w:val="Microsoft JhengHei Light"/>
    <w:panose1 w:val="00000000000000000000"/>
    <w:charset w:val="88"/>
    <w:family w:val="script"/>
    <w:pitch w:val="default"/>
    <w:sig w:usb0="00000000" w:usb1="00000000" w:usb2="00000010" w:usb3="00000000" w:csb0="00100000" w:csb1="00000000"/>
  </w:font>
  <w:font w:name="華康楷書體W5">
    <w:altName w:val="Microsoft JhengHei"/>
    <w:panose1 w:val="00000000000000000000"/>
    <w:charset w:val="88"/>
    <w:family w:val="modern"/>
    <w:pitch w:val="default"/>
    <w:sig w:usb0="00000000" w:usb1="00000000" w:usb2="00000010" w:usb3="00000000" w:csb0="0010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336550" cy="1828800"/>
              <wp:effectExtent l="0" t="0" r="6985" b="6350"/>
              <wp:wrapNone/>
              <wp:docPr id="4" name="文本框 4"/>
              <wp:cNvGraphicFramePr/>
              <a:graphic xmlns:a="http://schemas.openxmlformats.org/drawingml/2006/main">
                <a:graphicData uri="http://schemas.microsoft.com/office/word/2010/wordprocessingShape">
                  <wps:wsp>
                    <wps:cNvSpPr txBox="1"/>
                    <wps:spPr>
                      <a:xfrm>
                        <a:off x="0" y="0"/>
                        <a:ext cx="3364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26.5pt;mso-position-horizontal:center;mso-position-horizontal-relative:margin;z-index:251658240;mso-width-relative:page;mso-height-relative:page;" filled="f" stroked="f" coordsize="21600,21600" o:gfxdata="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Bn6d0wAAAAQBAAAPAAAAAAAAAAEA&#10;IAAAACIAAABkcnMvZG93bnJldi54bWxQSwECFAAUAAAACACHTuJANCvGaxQCAAAIBAAADgAAAAAA&#10;AAABACAAAAAiAQAAZHJzL2Uyb0RvYy54bWxQSwUGAAAAAAYABgBZAQAAqAUAAAAA&#10;">
              <v:fill on="f" focussize="0,0"/>
              <v:stroke on="f" weight="0.5pt"/>
              <v:imagedata o:title=""/>
              <o:lock v:ext="edit" aspectratio="f"/>
              <v:textbox inset="0mm,0mm,0mm,0mm" style="mso-fit-shape-to-text:t;">
                <w:txbxContent>
                  <w:p>
                    <w:pPr>
                      <w:pStyle w:val="2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ascii="仿宋" w:hAnsi="仿宋" w:eastAsia="仿宋"/>
      </w:rPr>
    </w:pPr>
    <w:r>
      <w:rPr>
        <w:rFonts w:hint="eastAsia" w:ascii="仿宋" w:hAnsi="仿宋" w:eastAsia="仿宋"/>
      </w:rPr>
      <w:t>双狮（张家港）精细化工有限公司2020年度土壤及地下水环境质量自行监测方案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4B17C"/>
    <w:multiLevelType w:val="singleLevel"/>
    <w:tmpl w:val="0974B17C"/>
    <w:lvl w:ilvl="0" w:tentative="0">
      <w:start w:val="1"/>
      <w:numFmt w:val="decimal"/>
      <w:suff w:val="nothing"/>
      <w:lvlText w:val="（%1）"/>
      <w:lvlJc w:val="left"/>
    </w:lvl>
  </w:abstractNum>
  <w:abstractNum w:abstractNumId="1">
    <w:nsid w:val="4E2119CB"/>
    <w:multiLevelType w:val="multilevel"/>
    <w:tmpl w:val="4E2119C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5327458B"/>
    <w:multiLevelType w:val="multilevel"/>
    <w:tmpl w:val="5327458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E1B"/>
    <w:rsid w:val="00010626"/>
    <w:rsid w:val="00022F13"/>
    <w:rsid w:val="00023D86"/>
    <w:rsid w:val="00027D21"/>
    <w:rsid w:val="00040D96"/>
    <w:rsid w:val="00042298"/>
    <w:rsid w:val="00050025"/>
    <w:rsid w:val="00050FDF"/>
    <w:rsid w:val="00052F7D"/>
    <w:rsid w:val="00053E67"/>
    <w:rsid w:val="000542C8"/>
    <w:rsid w:val="00057950"/>
    <w:rsid w:val="00060CEA"/>
    <w:rsid w:val="000610B2"/>
    <w:rsid w:val="00061AB7"/>
    <w:rsid w:val="00062E5D"/>
    <w:rsid w:val="000642B3"/>
    <w:rsid w:val="00066FEB"/>
    <w:rsid w:val="00067AAA"/>
    <w:rsid w:val="0008644B"/>
    <w:rsid w:val="0009270D"/>
    <w:rsid w:val="00094BAB"/>
    <w:rsid w:val="00097FB1"/>
    <w:rsid w:val="000A50FB"/>
    <w:rsid w:val="000B28BE"/>
    <w:rsid w:val="000B51C0"/>
    <w:rsid w:val="000B5B4C"/>
    <w:rsid w:val="000C05E6"/>
    <w:rsid w:val="000C154B"/>
    <w:rsid w:val="000C1E6B"/>
    <w:rsid w:val="000C5256"/>
    <w:rsid w:val="000D1D74"/>
    <w:rsid w:val="000D27DE"/>
    <w:rsid w:val="000D3BD5"/>
    <w:rsid w:val="000E1460"/>
    <w:rsid w:val="000E1700"/>
    <w:rsid w:val="000F068E"/>
    <w:rsid w:val="000F6EC2"/>
    <w:rsid w:val="0010357E"/>
    <w:rsid w:val="00104981"/>
    <w:rsid w:val="00104A59"/>
    <w:rsid w:val="0010737E"/>
    <w:rsid w:val="00107EF7"/>
    <w:rsid w:val="00111DF1"/>
    <w:rsid w:val="001157A5"/>
    <w:rsid w:val="00117C47"/>
    <w:rsid w:val="00120A5B"/>
    <w:rsid w:val="00122CC9"/>
    <w:rsid w:val="0012753F"/>
    <w:rsid w:val="001321B4"/>
    <w:rsid w:val="0013711F"/>
    <w:rsid w:val="00140D33"/>
    <w:rsid w:val="0014105A"/>
    <w:rsid w:val="00143FBB"/>
    <w:rsid w:val="00151902"/>
    <w:rsid w:val="00152B09"/>
    <w:rsid w:val="00155C11"/>
    <w:rsid w:val="00160081"/>
    <w:rsid w:val="00161C7F"/>
    <w:rsid w:val="00166D3D"/>
    <w:rsid w:val="00170A81"/>
    <w:rsid w:val="00170E5F"/>
    <w:rsid w:val="001718EF"/>
    <w:rsid w:val="00172A27"/>
    <w:rsid w:val="00175F37"/>
    <w:rsid w:val="00182CF8"/>
    <w:rsid w:val="0019456B"/>
    <w:rsid w:val="00194A4E"/>
    <w:rsid w:val="00195321"/>
    <w:rsid w:val="00196AAF"/>
    <w:rsid w:val="00197FFC"/>
    <w:rsid w:val="001A0B73"/>
    <w:rsid w:val="001A219D"/>
    <w:rsid w:val="001A493A"/>
    <w:rsid w:val="001A62BD"/>
    <w:rsid w:val="001B36FA"/>
    <w:rsid w:val="001C5E36"/>
    <w:rsid w:val="001D6F8C"/>
    <w:rsid w:val="001E3D31"/>
    <w:rsid w:val="001E3FF9"/>
    <w:rsid w:val="001F178C"/>
    <w:rsid w:val="001F2B3A"/>
    <w:rsid w:val="001F53E9"/>
    <w:rsid w:val="001F5F52"/>
    <w:rsid w:val="00204281"/>
    <w:rsid w:val="002050AF"/>
    <w:rsid w:val="00210BCC"/>
    <w:rsid w:val="0021100A"/>
    <w:rsid w:val="002139BE"/>
    <w:rsid w:val="0021567F"/>
    <w:rsid w:val="00224B29"/>
    <w:rsid w:val="00226781"/>
    <w:rsid w:val="00226C5D"/>
    <w:rsid w:val="00227EF9"/>
    <w:rsid w:val="00230A14"/>
    <w:rsid w:val="00233277"/>
    <w:rsid w:val="002332A5"/>
    <w:rsid w:val="00236C69"/>
    <w:rsid w:val="00242C4A"/>
    <w:rsid w:val="00243622"/>
    <w:rsid w:val="00251922"/>
    <w:rsid w:val="002626AF"/>
    <w:rsid w:val="002773C9"/>
    <w:rsid w:val="00280F77"/>
    <w:rsid w:val="002819DB"/>
    <w:rsid w:val="00283620"/>
    <w:rsid w:val="002B1888"/>
    <w:rsid w:val="002B4B61"/>
    <w:rsid w:val="002B6DD5"/>
    <w:rsid w:val="002B7883"/>
    <w:rsid w:val="002C0C1D"/>
    <w:rsid w:val="002C3EEE"/>
    <w:rsid w:val="002C4804"/>
    <w:rsid w:val="002D04C7"/>
    <w:rsid w:val="002D072A"/>
    <w:rsid w:val="002D19D4"/>
    <w:rsid w:val="002D23AA"/>
    <w:rsid w:val="002D4C50"/>
    <w:rsid w:val="002E1F49"/>
    <w:rsid w:val="002E575E"/>
    <w:rsid w:val="002F1FB0"/>
    <w:rsid w:val="002F21DC"/>
    <w:rsid w:val="002F246D"/>
    <w:rsid w:val="002F2BFA"/>
    <w:rsid w:val="002F3436"/>
    <w:rsid w:val="002F7235"/>
    <w:rsid w:val="00300721"/>
    <w:rsid w:val="00301484"/>
    <w:rsid w:val="003015EA"/>
    <w:rsid w:val="0030274C"/>
    <w:rsid w:val="00317A3E"/>
    <w:rsid w:val="003209DA"/>
    <w:rsid w:val="003228CA"/>
    <w:rsid w:val="00324ED2"/>
    <w:rsid w:val="0032606B"/>
    <w:rsid w:val="00330BE3"/>
    <w:rsid w:val="0033546B"/>
    <w:rsid w:val="00337570"/>
    <w:rsid w:val="00340590"/>
    <w:rsid w:val="0034119C"/>
    <w:rsid w:val="00342848"/>
    <w:rsid w:val="00344070"/>
    <w:rsid w:val="00344C0E"/>
    <w:rsid w:val="003459B4"/>
    <w:rsid w:val="00347666"/>
    <w:rsid w:val="00352090"/>
    <w:rsid w:val="00352F19"/>
    <w:rsid w:val="0036266A"/>
    <w:rsid w:val="003701D2"/>
    <w:rsid w:val="00376237"/>
    <w:rsid w:val="00381462"/>
    <w:rsid w:val="00381A81"/>
    <w:rsid w:val="00385DAC"/>
    <w:rsid w:val="00387A59"/>
    <w:rsid w:val="003944C8"/>
    <w:rsid w:val="00396F21"/>
    <w:rsid w:val="00397DDE"/>
    <w:rsid w:val="003A0085"/>
    <w:rsid w:val="003A09A6"/>
    <w:rsid w:val="003B51CD"/>
    <w:rsid w:val="003B70AE"/>
    <w:rsid w:val="003C094B"/>
    <w:rsid w:val="003C0C5D"/>
    <w:rsid w:val="003C318B"/>
    <w:rsid w:val="003C5B5D"/>
    <w:rsid w:val="003D214F"/>
    <w:rsid w:val="003D2A23"/>
    <w:rsid w:val="003D3B4E"/>
    <w:rsid w:val="003E1C02"/>
    <w:rsid w:val="003E39CD"/>
    <w:rsid w:val="003E7BBF"/>
    <w:rsid w:val="003F1C25"/>
    <w:rsid w:val="003F3BB6"/>
    <w:rsid w:val="003F57D1"/>
    <w:rsid w:val="00400BB0"/>
    <w:rsid w:val="004105A5"/>
    <w:rsid w:val="00411510"/>
    <w:rsid w:val="00421F98"/>
    <w:rsid w:val="00422FC9"/>
    <w:rsid w:val="004238E7"/>
    <w:rsid w:val="00432A02"/>
    <w:rsid w:val="00432FDA"/>
    <w:rsid w:val="00433DAE"/>
    <w:rsid w:val="00436B33"/>
    <w:rsid w:val="00447978"/>
    <w:rsid w:val="004516C8"/>
    <w:rsid w:val="00451972"/>
    <w:rsid w:val="00452570"/>
    <w:rsid w:val="00454217"/>
    <w:rsid w:val="00455CAF"/>
    <w:rsid w:val="00462EE7"/>
    <w:rsid w:val="00462F57"/>
    <w:rsid w:val="00463787"/>
    <w:rsid w:val="00463984"/>
    <w:rsid w:val="0046598D"/>
    <w:rsid w:val="0047094D"/>
    <w:rsid w:val="0047304D"/>
    <w:rsid w:val="00483E66"/>
    <w:rsid w:val="00484A4B"/>
    <w:rsid w:val="00487490"/>
    <w:rsid w:val="004919E6"/>
    <w:rsid w:val="004932F4"/>
    <w:rsid w:val="004952D3"/>
    <w:rsid w:val="00497C86"/>
    <w:rsid w:val="004A0004"/>
    <w:rsid w:val="004A0B69"/>
    <w:rsid w:val="004A26F9"/>
    <w:rsid w:val="004B0CAB"/>
    <w:rsid w:val="004B2D31"/>
    <w:rsid w:val="004B2D42"/>
    <w:rsid w:val="004B3A89"/>
    <w:rsid w:val="004B4FE6"/>
    <w:rsid w:val="004C2A32"/>
    <w:rsid w:val="004C49FB"/>
    <w:rsid w:val="004C4C71"/>
    <w:rsid w:val="004C639C"/>
    <w:rsid w:val="004D1D76"/>
    <w:rsid w:val="004D25F5"/>
    <w:rsid w:val="004D3250"/>
    <w:rsid w:val="004E151E"/>
    <w:rsid w:val="004F0EF9"/>
    <w:rsid w:val="004F5078"/>
    <w:rsid w:val="00500E59"/>
    <w:rsid w:val="00502AEA"/>
    <w:rsid w:val="00510E44"/>
    <w:rsid w:val="005110CB"/>
    <w:rsid w:val="00512BE3"/>
    <w:rsid w:val="00513B77"/>
    <w:rsid w:val="00517218"/>
    <w:rsid w:val="00521F14"/>
    <w:rsid w:val="00522446"/>
    <w:rsid w:val="00523878"/>
    <w:rsid w:val="00524707"/>
    <w:rsid w:val="00526319"/>
    <w:rsid w:val="00545B47"/>
    <w:rsid w:val="00545EC6"/>
    <w:rsid w:val="00547A27"/>
    <w:rsid w:val="00554A32"/>
    <w:rsid w:val="00560E76"/>
    <w:rsid w:val="005618B8"/>
    <w:rsid w:val="005665DE"/>
    <w:rsid w:val="00566668"/>
    <w:rsid w:val="005666CF"/>
    <w:rsid w:val="00567C5C"/>
    <w:rsid w:val="00571FB9"/>
    <w:rsid w:val="00583E69"/>
    <w:rsid w:val="00586079"/>
    <w:rsid w:val="00592BEF"/>
    <w:rsid w:val="00593C80"/>
    <w:rsid w:val="005A58A1"/>
    <w:rsid w:val="005A6AFB"/>
    <w:rsid w:val="005A7AF9"/>
    <w:rsid w:val="005B07BC"/>
    <w:rsid w:val="005B1315"/>
    <w:rsid w:val="005B14FB"/>
    <w:rsid w:val="005B3B4F"/>
    <w:rsid w:val="005B6004"/>
    <w:rsid w:val="005B754C"/>
    <w:rsid w:val="005C3141"/>
    <w:rsid w:val="005C337A"/>
    <w:rsid w:val="005C57B2"/>
    <w:rsid w:val="005C5998"/>
    <w:rsid w:val="005D7298"/>
    <w:rsid w:val="005E08BF"/>
    <w:rsid w:val="005E7910"/>
    <w:rsid w:val="005F0450"/>
    <w:rsid w:val="005F4F41"/>
    <w:rsid w:val="00601C6E"/>
    <w:rsid w:val="0061063E"/>
    <w:rsid w:val="00614025"/>
    <w:rsid w:val="006225F7"/>
    <w:rsid w:val="006235A6"/>
    <w:rsid w:val="006249C0"/>
    <w:rsid w:val="00625272"/>
    <w:rsid w:val="0062532B"/>
    <w:rsid w:val="006352CB"/>
    <w:rsid w:val="00636A37"/>
    <w:rsid w:val="0064199D"/>
    <w:rsid w:val="00641CC5"/>
    <w:rsid w:val="00643576"/>
    <w:rsid w:val="006444C7"/>
    <w:rsid w:val="006445ED"/>
    <w:rsid w:val="00644739"/>
    <w:rsid w:val="006566C6"/>
    <w:rsid w:val="006574BE"/>
    <w:rsid w:val="006608D7"/>
    <w:rsid w:val="00663834"/>
    <w:rsid w:val="00663A12"/>
    <w:rsid w:val="00667E29"/>
    <w:rsid w:val="0067511A"/>
    <w:rsid w:val="006753B2"/>
    <w:rsid w:val="00676330"/>
    <w:rsid w:val="00682102"/>
    <w:rsid w:val="00684967"/>
    <w:rsid w:val="00685225"/>
    <w:rsid w:val="0068525B"/>
    <w:rsid w:val="00686370"/>
    <w:rsid w:val="00686BA2"/>
    <w:rsid w:val="00692D25"/>
    <w:rsid w:val="00692D46"/>
    <w:rsid w:val="006931FE"/>
    <w:rsid w:val="006934F7"/>
    <w:rsid w:val="00695C51"/>
    <w:rsid w:val="00697DD0"/>
    <w:rsid w:val="006A0C3A"/>
    <w:rsid w:val="006A7859"/>
    <w:rsid w:val="006B6350"/>
    <w:rsid w:val="006C097F"/>
    <w:rsid w:val="006C33EC"/>
    <w:rsid w:val="006C3567"/>
    <w:rsid w:val="006C4CD9"/>
    <w:rsid w:val="006C6451"/>
    <w:rsid w:val="006C73D3"/>
    <w:rsid w:val="006D24C7"/>
    <w:rsid w:val="006D4F13"/>
    <w:rsid w:val="006D6F0F"/>
    <w:rsid w:val="006E0267"/>
    <w:rsid w:val="006E0AB2"/>
    <w:rsid w:val="006E5F39"/>
    <w:rsid w:val="006E794E"/>
    <w:rsid w:val="006F0922"/>
    <w:rsid w:val="006F1F04"/>
    <w:rsid w:val="00703988"/>
    <w:rsid w:val="00733FB9"/>
    <w:rsid w:val="007351C7"/>
    <w:rsid w:val="00737BBA"/>
    <w:rsid w:val="007474A2"/>
    <w:rsid w:val="007551C5"/>
    <w:rsid w:val="00761437"/>
    <w:rsid w:val="0076330C"/>
    <w:rsid w:val="00765531"/>
    <w:rsid w:val="007711B7"/>
    <w:rsid w:val="0077222D"/>
    <w:rsid w:val="007776DE"/>
    <w:rsid w:val="00780DCC"/>
    <w:rsid w:val="00783521"/>
    <w:rsid w:val="007925F3"/>
    <w:rsid w:val="00793A5B"/>
    <w:rsid w:val="00794ADE"/>
    <w:rsid w:val="00797E4A"/>
    <w:rsid w:val="007A10E0"/>
    <w:rsid w:val="007A11E0"/>
    <w:rsid w:val="007B0E8F"/>
    <w:rsid w:val="007B2BE6"/>
    <w:rsid w:val="007B51FD"/>
    <w:rsid w:val="007C33A9"/>
    <w:rsid w:val="007C4038"/>
    <w:rsid w:val="007C65F0"/>
    <w:rsid w:val="007D0A55"/>
    <w:rsid w:val="007D7D89"/>
    <w:rsid w:val="007E0B40"/>
    <w:rsid w:val="007E0F4C"/>
    <w:rsid w:val="007F0CA2"/>
    <w:rsid w:val="007F68A3"/>
    <w:rsid w:val="008011C8"/>
    <w:rsid w:val="008016FA"/>
    <w:rsid w:val="00801A54"/>
    <w:rsid w:val="00802C45"/>
    <w:rsid w:val="0080754C"/>
    <w:rsid w:val="00813C1E"/>
    <w:rsid w:val="0081426B"/>
    <w:rsid w:val="00814F15"/>
    <w:rsid w:val="00816999"/>
    <w:rsid w:val="0082105C"/>
    <w:rsid w:val="00822407"/>
    <w:rsid w:val="008317DE"/>
    <w:rsid w:val="008333EA"/>
    <w:rsid w:val="00833E1A"/>
    <w:rsid w:val="00840FD5"/>
    <w:rsid w:val="00845119"/>
    <w:rsid w:val="008473C4"/>
    <w:rsid w:val="008519C0"/>
    <w:rsid w:val="00851E71"/>
    <w:rsid w:val="008522B9"/>
    <w:rsid w:val="00854588"/>
    <w:rsid w:val="00860EB5"/>
    <w:rsid w:val="00861B08"/>
    <w:rsid w:val="00861B44"/>
    <w:rsid w:val="008664F3"/>
    <w:rsid w:val="008763B3"/>
    <w:rsid w:val="00876F83"/>
    <w:rsid w:val="00880055"/>
    <w:rsid w:val="00885E49"/>
    <w:rsid w:val="00886226"/>
    <w:rsid w:val="0089228E"/>
    <w:rsid w:val="008925D9"/>
    <w:rsid w:val="0089752C"/>
    <w:rsid w:val="008A231C"/>
    <w:rsid w:val="008A3755"/>
    <w:rsid w:val="008B6614"/>
    <w:rsid w:val="008B6A5E"/>
    <w:rsid w:val="008D0CB2"/>
    <w:rsid w:val="008D3CA8"/>
    <w:rsid w:val="008D763F"/>
    <w:rsid w:val="008E1679"/>
    <w:rsid w:val="00904810"/>
    <w:rsid w:val="00917134"/>
    <w:rsid w:val="009215F3"/>
    <w:rsid w:val="009228A1"/>
    <w:rsid w:val="00922B26"/>
    <w:rsid w:val="009274F0"/>
    <w:rsid w:val="00927EE2"/>
    <w:rsid w:val="0093031E"/>
    <w:rsid w:val="00933C05"/>
    <w:rsid w:val="009365A7"/>
    <w:rsid w:val="00936928"/>
    <w:rsid w:val="0094188A"/>
    <w:rsid w:val="009436BF"/>
    <w:rsid w:val="00964304"/>
    <w:rsid w:val="00975936"/>
    <w:rsid w:val="00976C79"/>
    <w:rsid w:val="00976E5B"/>
    <w:rsid w:val="00984FDD"/>
    <w:rsid w:val="00985CDB"/>
    <w:rsid w:val="00990975"/>
    <w:rsid w:val="009911E5"/>
    <w:rsid w:val="00995D6C"/>
    <w:rsid w:val="009A0906"/>
    <w:rsid w:val="009B07A4"/>
    <w:rsid w:val="009B0ADC"/>
    <w:rsid w:val="009B0E01"/>
    <w:rsid w:val="009B27F7"/>
    <w:rsid w:val="009B7AEB"/>
    <w:rsid w:val="009C73F3"/>
    <w:rsid w:val="009D1F85"/>
    <w:rsid w:val="009D3C2F"/>
    <w:rsid w:val="009D54CB"/>
    <w:rsid w:val="009D7D2F"/>
    <w:rsid w:val="009E3DAB"/>
    <w:rsid w:val="009F594D"/>
    <w:rsid w:val="009F6582"/>
    <w:rsid w:val="00A00230"/>
    <w:rsid w:val="00A01B4C"/>
    <w:rsid w:val="00A05213"/>
    <w:rsid w:val="00A054F7"/>
    <w:rsid w:val="00A111B9"/>
    <w:rsid w:val="00A12BDD"/>
    <w:rsid w:val="00A141E0"/>
    <w:rsid w:val="00A21B2D"/>
    <w:rsid w:val="00A223DE"/>
    <w:rsid w:val="00A25FDE"/>
    <w:rsid w:val="00A26DF9"/>
    <w:rsid w:val="00A278A6"/>
    <w:rsid w:val="00A27C33"/>
    <w:rsid w:val="00A301F4"/>
    <w:rsid w:val="00A30481"/>
    <w:rsid w:val="00A32EAD"/>
    <w:rsid w:val="00A40DA1"/>
    <w:rsid w:val="00A412AB"/>
    <w:rsid w:val="00A413A6"/>
    <w:rsid w:val="00A41E18"/>
    <w:rsid w:val="00A43CE5"/>
    <w:rsid w:val="00A50920"/>
    <w:rsid w:val="00A5406B"/>
    <w:rsid w:val="00A63681"/>
    <w:rsid w:val="00A702DF"/>
    <w:rsid w:val="00A74F71"/>
    <w:rsid w:val="00A75A46"/>
    <w:rsid w:val="00A769DF"/>
    <w:rsid w:val="00A8134A"/>
    <w:rsid w:val="00A87186"/>
    <w:rsid w:val="00A8721E"/>
    <w:rsid w:val="00A91820"/>
    <w:rsid w:val="00A95E10"/>
    <w:rsid w:val="00A97EEA"/>
    <w:rsid w:val="00AA1658"/>
    <w:rsid w:val="00AA1695"/>
    <w:rsid w:val="00AA4591"/>
    <w:rsid w:val="00AB7CCC"/>
    <w:rsid w:val="00AC37D4"/>
    <w:rsid w:val="00AC6A7B"/>
    <w:rsid w:val="00AC73A1"/>
    <w:rsid w:val="00AD2242"/>
    <w:rsid w:val="00AE3AD1"/>
    <w:rsid w:val="00AF0023"/>
    <w:rsid w:val="00AF0470"/>
    <w:rsid w:val="00AF142E"/>
    <w:rsid w:val="00AF6597"/>
    <w:rsid w:val="00AF6B60"/>
    <w:rsid w:val="00AF79A7"/>
    <w:rsid w:val="00B00952"/>
    <w:rsid w:val="00B01527"/>
    <w:rsid w:val="00B0497D"/>
    <w:rsid w:val="00B07E4A"/>
    <w:rsid w:val="00B108E5"/>
    <w:rsid w:val="00B10C37"/>
    <w:rsid w:val="00B11736"/>
    <w:rsid w:val="00B129E5"/>
    <w:rsid w:val="00B17662"/>
    <w:rsid w:val="00B26F7D"/>
    <w:rsid w:val="00B3294A"/>
    <w:rsid w:val="00B41AF6"/>
    <w:rsid w:val="00B426F6"/>
    <w:rsid w:val="00B435C4"/>
    <w:rsid w:val="00B46DA4"/>
    <w:rsid w:val="00B5642C"/>
    <w:rsid w:val="00B619C1"/>
    <w:rsid w:val="00B61B5A"/>
    <w:rsid w:val="00B624FA"/>
    <w:rsid w:val="00B62F4D"/>
    <w:rsid w:val="00B6562D"/>
    <w:rsid w:val="00B70027"/>
    <w:rsid w:val="00B70EEC"/>
    <w:rsid w:val="00B80FFF"/>
    <w:rsid w:val="00B86604"/>
    <w:rsid w:val="00B87052"/>
    <w:rsid w:val="00B941D9"/>
    <w:rsid w:val="00BA0F39"/>
    <w:rsid w:val="00BA2A76"/>
    <w:rsid w:val="00BA2B13"/>
    <w:rsid w:val="00BA2B4F"/>
    <w:rsid w:val="00BA389E"/>
    <w:rsid w:val="00BA3921"/>
    <w:rsid w:val="00BB1687"/>
    <w:rsid w:val="00BB6B68"/>
    <w:rsid w:val="00BC0486"/>
    <w:rsid w:val="00BC3E1D"/>
    <w:rsid w:val="00BC5FDE"/>
    <w:rsid w:val="00BC7332"/>
    <w:rsid w:val="00BD0F11"/>
    <w:rsid w:val="00BD5211"/>
    <w:rsid w:val="00BE1449"/>
    <w:rsid w:val="00BE2848"/>
    <w:rsid w:val="00BE36C7"/>
    <w:rsid w:val="00BE4192"/>
    <w:rsid w:val="00BE484E"/>
    <w:rsid w:val="00BE5557"/>
    <w:rsid w:val="00BE64F5"/>
    <w:rsid w:val="00BE78C9"/>
    <w:rsid w:val="00BF0229"/>
    <w:rsid w:val="00C04801"/>
    <w:rsid w:val="00C04B87"/>
    <w:rsid w:val="00C052FE"/>
    <w:rsid w:val="00C07946"/>
    <w:rsid w:val="00C10144"/>
    <w:rsid w:val="00C145EB"/>
    <w:rsid w:val="00C17AEE"/>
    <w:rsid w:val="00C3146B"/>
    <w:rsid w:val="00C32176"/>
    <w:rsid w:val="00C34E20"/>
    <w:rsid w:val="00C40D7B"/>
    <w:rsid w:val="00C4196F"/>
    <w:rsid w:val="00C41DC3"/>
    <w:rsid w:val="00C44574"/>
    <w:rsid w:val="00C45CCB"/>
    <w:rsid w:val="00C470D4"/>
    <w:rsid w:val="00C541A4"/>
    <w:rsid w:val="00C55651"/>
    <w:rsid w:val="00C568C9"/>
    <w:rsid w:val="00C60B62"/>
    <w:rsid w:val="00C61D46"/>
    <w:rsid w:val="00C62CF0"/>
    <w:rsid w:val="00C71C3D"/>
    <w:rsid w:val="00C743B6"/>
    <w:rsid w:val="00C75F6A"/>
    <w:rsid w:val="00C76FB7"/>
    <w:rsid w:val="00C84F02"/>
    <w:rsid w:val="00C956C8"/>
    <w:rsid w:val="00C97198"/>
    <w:rsid w:val="00CA34C4"/>
    <w:rsid w:val="00CA4F28"/>
    <w:rsid w:val="00CB2FBF"/>
    <w:rsid w:val="00CB649C"/>
    <w:rsid w:val="00CB7231"/>
    <w:rsid w:val="00CC156E"/>
    <w:rsid w:val="00CC1F95"/>
    <w:rsid w:val="00CC2E9B"/>
    <w:rsid w:val="00CC6817"/>
    <w:rsid w:val="00CD07E5"/>
    <w:rsid w:val="00CD1E5E"/>
    <w:rsid w:val="00CD5564"/>
    <w:rsid w:val="00CE0FDF"/>
    <w:rsid w:val="00CE11DA"/>
    <w:rsid w:val="00CE1725"/>
    <w:rsid w:val="00CE2339"/>
    <w:rsid w:val="00CE58B6"/>
    <w:rsid w:val="00CF2F89"/>
    <w:rsid w:val="00CF5477"/>
    <w:rsid w:val="00CF6F0C"/>
    <w:rsid w:val="00D03837"/>
    <w:rsid w:val="00D049A9"/>
    <w:rsid w:val="00D0643E"/>
    <w:rsid w:val="00D07A3E"/>
    <w:rsid w:val="00D139B7"/>
    <w:rsid w:val="00D13FF6"/>
    <w:rsid w:val="00D14238"/>
    <w:rsid w:val="00D14770"/>
    <w:rsid w:val="00D14865"/>
    <w:rsid w:val="00D17DD1"/>
    <w:rsid w:val="00D2180C"/>
    <w:rsid w:val="00D4088F"/>
    <w:rsid w:val="00D42AD7"/>
    <w:rsid w:val="00D42AFB"/>
    <w:rsid w:val="00D42BD7"/>
    <w:rsid w:val="00D431BB"/>
    <w:rsid w:val="00D45D2D"/>
    <w:rsid w:val="00D5124F"/>
    <w:rsid w:val="00D601BD"/>
    <w:rsid w:val="00D64ADA"/>
    <w:rsid w:val="00D667BC"/>
    <w:rsid w:val="00D6776D"/>
    <w:rsid w:val="00D74157"/>
    <w:rsid w:val="00D80C9D"/>
    <w:rsid w:val="00D8294B"/>
    <w:rsid w:val="00D90B7F"/>
    <w:rsid w:val="00D9615A"/>
    <w:rsid w:val="00DA08E3"/>
    <w:rsid w:val="00DA16DA"/>
    <w:rsid w:val="00DA39EE"/>
    <w:rsid w:val="00DA416B"/>
    <w:rsid w:val="00DB2549"/>
    <w:rsid w:val="00DB4E72"/>
    <w:rsid w:val="00DB72C1"/>
    <w:rsid w:val="00DB737F"/>
    <w:rsid w:val="00DC1EDF"/>
    <w:rsid w:val="00DC6B8A"/>
    <w:rsid w:val="00DC7EF5"/>
    <w:rsid w:val="00DD0EC6"/>
    <w:rsid w:val="00DD1B13"/>
    <w:rsid w:val="00DD56E9"/>
    <w:rsid w:val="00DD5A11"/>
    <w:rsid w:val="00DD5CA7"/>
    <w:rsid w:val="00DD7418"/>
    <w:rsid w:val="00DE5D4C"/>
    <w:rsid w:val="00DF0768"/>
    <w:rsid w:val="00DF2F37"/>
    <w:rsid w:val="00DF64B2"/>
    <w:rsid w:val="00DF6C6A"/>
    <w:rsid w:val="00E06398"/>
    <w:rsid w:val="00E12B96"/>
    <w:rsid w:val="00E13079"/>
    <w:rsid w:val="00E17381"/>
    <w:rsid w:val="00E20F4A"/>
    <w:rsid w:val="00E21B33"/>
    <w:rsid w:val="00E22921"/>
    <w:rsid w:val="00E3705A"/>
    <w:rsid w:val="00E50E39"/>
    <w:rsid w:val="00E50EB4"/>
    <w:rsid w:val="00E540E3"/>
    <w:rsid w:val="00E60688"/>
    <w:rsid w:val="00E61914"/>
    <w:rsid w:val="00E73F8D"/>
    <w:rsid w:val="00E740CC"/>
    <w:rsid w:val="00E74BE6"/>
    <w:rsid w:val="00E81377"/>
    <w:rsid w:val="00E83F92"/>
    <w:rsid w:val="00E907F1"/>
    <w:rsid w:val="00E938A8"/>
    <w:rsid w:val="00E93C16"/>
    <w:rsid w:val="00E93FC0"/>
    <w:rsid w:val="00E96C6E"/>
    <w:rsid w:val="00E96D79"/>
    <w:rsid w:val="00EA023E"/>
    <w:rsid w:val="00EA1E46"/>
    <w:rsid w:val="00EA6590"/>
    <w:rsid w:val="00EB0ADD"/>
    <w:rsid w:val="00EB3CC5"/>
    <w:rsid w:val="00EB6300"/>
    <w:rsid w:val="00EB79B3"/>
    <w:rsid w:val="00EC3087"/>
    <w:rsid w:val="00EC32B7"/>
    <w:rsid w:val="00EC587B"/>
    <w:rsid w:val="00ED1473"/>
    <w:rsid w:val="00ED21D4"/>
    <w:rsid w:val="00ED2B9E"/>
    <w:rsid w:val="00ED4B4F"/>
    <w:rsid w:val="00ED55D3"/>
    <w:rsid w:val="00ED63E4"/>
    <w:rsid w:val="00ED7AB9"/>
    <w:rsid w:val="00EE7132"/>
    <w:rsid w:val="00EF1287"/>
    <w:rsid w:val="00EF13B3"/>
    <w:rsid w:val="00EF2CAE"/>
    <w:rsid w:val="00F036A0"/>
    <w:rsid w:val="00F06590"/>
    <w:rsid w:val="00F141E6"/>
    <w:rsid w:val="00F144A9"/>
    <w:rsid w:val="00F16941"/>
    <w:rsid w:val="00F231A2"/>
    <w:rsid w:val="00F23571"/>
    <w:rsid w:val="00F3191D"/>
    <w:rsid w:val="00F32C12"/>
    <w:rsid w:val="00F3685A"/>
    <w:rsid w:val="00F42FF3"/>
    <w:rsid w:val="00F43FA8"/>
    <w:rsid w:val="00F44917"/>
    <w:rsid w:val="00F44A42"/>
    <w:rsid w:val="00F461AE"/>
    <w:rsid w:val="00F5263D"/>
    <w:rsid w:val="00F55207"/>
    <w:rsid w:val="00F62E23"/>
    <w:rsid w:val="00F7267D"/>
    <w:rsid w:val="00F758F3"/>
    <w:rsid w:val="00F83AF8"/>
    <w:rsid w:val="00F84478"/>
    <w:rsid w:val="00F937B7"/>
    <w:rsid w:val="00F941B5"/>
    <w:rsid w:val="00F941D3"/>
    <w:rsid w:val="00F967E1"/>
    <w:rsid w:val="00FA124B"/>
    <w:rsid w:val="00FA1E20"/>
    <w:rsid w:val="00FA657E"/>
    <w:rsid w:val="00FB0401"/>
    <w:rsid w:val="00FB071F"/>
    <w:rsid w:val="00FB71EC"/>
    <w:rsid w:val="00FC680E"/>
    <w:rsid w:val="00FD40DA"/>
    <w:rsid w:val="00FD4FEF"/>
    <w:rsid w:val="00FD5C1B"/>
    <w:rsid w:val="00FE0B3F"/>
    <w:rsid w:val="00FE1A1B"/>
    <w:rsid w:val="00FE2EA0"/>
    <w:rsid w:val="00FE410C"/>
    <w:rsid w:val="00FE763A"/>
    <w:rsid w:val="00FF78AC"/>
    <w:rsid w:val="011A4BE1"/>
    <w:rsid w:val="011D6260"/>
    <w:rsid w:val="018D1D97"/>
    <w:rsid w:val="01F13BA3"/>
    <w:rsid w:val="02AE7A0E"/>
    <w:rsid w:val="03012F7E"/>
    <w:rsid w:val="03056A38"/>
    <w:rsid w:val="032654D2"/>
    <w:rsid w:val="037F4E3C"/>
    <w:rsid w:val="03B718EC"/>
    <w:rsid w:val="04A34E80"/>
    <w:rsid w:val="054B1548"/>
    <w:rsid w:val="0576371C"/>
    <w:rsid w:val="061C4714"/>
    <w:rsid w:val="06744B24"/>
    <w:rsid w:val="06750C59"/>
    <w:rsid w:val="067D1773"/>
    <w:rsid w:val="06904833"/>
    <w:rsid w:val="06B4245F"/>
    <w:rsid w:val="06EE52A1"/>
    <w:rsid w:val="06F76F37"/>
    <w:rsid w:val="07344B58"/>
    <w:rsid w:val="075D6E6C"/>
    <w:rsid w:val="077730CD"/>
    <w:rsid w:val="079E0D8E"/>
    <w:rsid w:val="07BD2E9E"/>
    <w:rsid w:val="07C83611"/>
    <w:rsid w:val="07DB348F"/>
    <w:rsid w:val="08043FB5"/>
    <w:rsid w:val="081B5AAD"/>
    <w:rsid w:val="085A386A"/>
    <w:rsid w:val="08716B68"/>
    <w:rsid w:val="08B627AF"/>
    <w:rsid w:val="091D7F20"/>
    <w:rsid w:val="092D0CC0"/>
    <w:rsid w:val="092D56A9"/>
    <w:rsid w:val="096E10AA"/>
    <w:rsid w:val="097A3D8E"/>
    <w:rsid w:val="09CC5606"/>
    <w:rsid w:val="09E02DD5"/>
    <w:rsid w:val="0A043D08"/>
    <w:rsid w:val="0A9603FE"/>
    <w:rsid w:val="0A9720B9"/>
    <w:rsid w:val="0AB66F42"/>
    <w:rsid w:val="0ABB0F6C"/>
    <w:rsid w:val="0ABB4BF1"/>
    <w:rsid w:val="0AD11EBB"/>
    <w:rsid w:val="0ADE21C0"/>
    <w:rsid w:val="0AE347C0"/>
    <w:rsid w:val="0AEF051D"/>
    <w:rsid w:val="0B5101FE"/>
    <w:rsid w:val="0BC36508"/>
    <w:rsid w:val="0BE92617"/>
    <w:rsid w:val="0C0E73D4"/>
    <w:rsid w:val="0C3D2C4D"/>
    <w:rsid w:val="0C5B11DF"/>
    <w:rsid w:val="0CDC17AA"/>
    <w:rsid w:val="0D370701"/>
    <w:rsid w:val="0D4B0AC3"/>
    <w:rsid w:val="0D6017CC"/>
    <w:rsid w:val="0DAE1B73"/>
    <w:rsid w:val="0DCE0D50"/>
    <w:rsid w:val="0DDA1FFE"/>
    <w:rsid w:val="0DEA07CF"/>
    <w:rsid w:val="0E134225"/>
    <w:rsid w:val="0E2E42B5"/>
    <w:rsid w:val="0E3C1B66"/>
    <w:rsid w:val="0E482CEF"/>
    <w:rsid w:val="0EA478DF"/>
    <w:rsid w:val="0EB77F23"/>
    <w:rsid w:val="0EFB70D6"/>
    <w:rsid w:val="0F47463E"/>
    <w:rsid w:val="0F6645AC"/>
    <w:rsid w:val="0F6F4A82"/>
    <w:rsid w:val="0F737665"/>
    <w:rsid w:val="0FA7463C"/>
    <w:rsid w:val="0FCF1F7D"/>
    <w:rsid w:val="10324220"/>
    <w:rsid w:val="106B50BC"/>
    <w:rsid w:val="10A93EC9"/>
    <w:rsid w:val="10AE73EC"/>
    <w:rsid w:val="10D40F5C"/>
    <w:rsid w:val="10E904CB"/>
    <w:rsid w:val="10F2061C"/>
    <w:rsid w:val="10F4664F"/>
    <w:rsid w:val="11156DBE"/>
    <w:rsid w:val="111801A3"/>
    <w:rsid w:val="11EB3A9D"/>
    <w:rsid w:val="120029E9"/>
    <w:rsid w:val="127B35DB"/>
    <w:rsid w:val="12997C83"/>
    <w:rsid w:val="12A10BBE"/>
    <w:rsid w:val="12BB4969"/>
    <w:rsid w:val="12D82AA1"/>
    <w:rsid w:val="12F54069"/>
    <w:rsid w:val="132E6058"/>
    <w:rsid w:val="1361184C"/>
    <w:rsid w:val="13626166"/>
    <w:rsid w:val="138A301D"/>
    <w:rsid w:val="1417590A"/>
    <w:rsid w:val="142F3689"/>
    <w:rsid w:val="144702AC"/>
    <w:rsid w:val="14561EDF"/>
    <w:rsid w:val="14700679"/>
    <w:rsid w:val="14840CB7"/>
    <w:rsid w:val="15310F88"/>
    <w:rsid w:val="1588725F"/>
    <w:rsid w:val="15B12989"/>
    <w:rsid w:val="15C466BE"/>
    <w:rsid w:val="16103B51"/>
    <w:rsid w:val="163C6C84"/>
    <w:rsid w:val="166A7AEE"/>
    <w:rsid w:val="16A22E4F"/>
    <w:rsid w:val="16F91434"/>
    <w:rsid w:val="175534C9"/>
    <w:rsid w:val="178F2AA4"/>
    <w:rsid w:val="181E7FE4"/>
    <w:rsid w:val="18732BFE"/>
    <w:rsid w:val="18987719"/>
    <w:rsid w:val="18DC2EDA"/>
    <w:rsid w:val="18F40581"/>
    <w:rsid w:val="19032AAF"/>
    <w:rsid w:val="193844ED"/>
    <w:rsid w:val="194653C0"/>
    <w:rsid w:val="1951450E"/>
    <w:rsid w:val="196515C1"/>
    <w:rsid w:val="196A784A"/>
    <w:rsid w:val="19A36DF7"/>
    <w:rsid w:val="19B44F7E"/>
    <w:rsid w:val="19EB611E"/>
    <w:rsid w:val="19F64C8F"/>
    <w:rsid w:val="1A156664"/>
    <w:rsid w:val="1A2E5F03"/>
    <w:rsid w:val="1A9A08B1"/>
    <w:rsid w:val="1AF9421F"/>
    <w:rsid w:val="1B4245C7"/>
    <w:rsid w:val="1BB459E5"/>
    <w:rsid w:val="1BEB5D8F"/>
    <w:rsid w:val="1BFA2D11"/>
    <w:rsid w:val="1C103A35"/>
    <w:rsid w:val="1C115DAC"/>
    <w:rsid w:val="1C20171F"/>
    <w:rsid w:val="1C237951"/>
    <w:rsid w:val="1C3F24EC"/>
    <w:rsid w:val="1C4B5FFB"/>
    <w:rsid w:val="1C4C5CF9"/>
    <w:rsid w:val="1C79390D"/>
    <w:rsid w:val="1CAA68AA"/>
    <w:rsid w:val="1D231D3B"/>
    <w:rsid w:val="1D40788B"/>
    <w:rsid w:val="1D9101C0"/>
    <w:rsid w:val="1DF86223"/>
    <w:rsid w:val="1E43780A"/>
    <w:rsid w:val="1EBA11DB"/>
    <w:rsid w:val="1F0270D0"/>
    <w:rsid w:val="1F07293C"/>
    <w:rsid w:val="1F087D33"/>
    <w:rsid w:val="1F5405C6"/>
    <w:rsid w:val="1F5656A7"/>
    <w:rsid w:val="1FCD7FDF"/>
    <w:rsid w:val="201026FC"/>
    <w:rsid w:val="2033398E"/>
    <w:rsid w:val="205E42BF"/>
    <w:rsid w:val="208E3D71"/>
    <w:rsid w:val="20BB740D"/>
    <w:rsid w:val="213879BA"/>
    <w:rsid w:val="21931B97"/>
    <w:rsid w:val="22364547"/>
    <w:rsid w:val="22956772"/>
    <w:rsid w:val="22B4178B"/>
    <w:rsid w:val="22CB54B2"/>
    <w:rsid w:val="22EF1E18"/>
    <w:rsid w:val="232C2DED"/>
    <w:rsid w:val="234A2A43"/>
    <w:rsid w:val="23D97A5F"/>
    <w:rsid w:val="243006CB"/>
    <w:rsid w:val="243369B4"/>
    <w:rsid w:val="244C1F30"/>
    <w:rsid w:val="248C72D8"/>
    <w:rsid w:val="248D0A3F"/>
    <w:rsid w:val="251607B8"/>
    <w:rsid w:val="255B6EE1"/>
    <w:rsid w:val="256A5E95"/>
    <w:rsid w:val="25D174E2"/>
    <w:rsid w:val="25FB5B0D"/>
    <w:rsid w:val="264162C1"/>
    <w:rsid w:val="264F1B46"/>
    <w:rsid w:val="26504B48"/>
    <w:rsid w:val="265A5904"/>
    <w:rsid w:val="26701537"/>
    <w:rsid w:val="268C4850"/>
    <w:rsid w:val="26B7120F"/>
    <w:rsid w:val="26FD36C1"/>
    <w:rsid w:val="271A7A51"/>
    <w:rsid w:val="272979A7"/>
    <w:rsid w:val="274B25AD"/>
    <w:rsid w:val="277D78DA"/>
    <w:rsid w:val="27833331"/>
    <w:rsid w:val="27A27E15"/>
    <w:rsid w:val="27A83F1D"/>
    <w:rsid w:val="28051290"/>
    <w:rsid w:val="280E794D"/>
    <w:rsid w:val="28226EB6"/>
    <w:rsid w:val="282C7EAB"/>
    <w:rsid w:val="287B1076"/>
    <w:rsid w:val="289D5273"/>
    <w:rsid w:val="28B01344"/>
    <w:rsid w:val="28BB0BA0"/>
    <w:rsid w:val="28C61310"/>
    <w:rsid w:val="28DA02EC"/>
    <w:rsid w:val="28E65C9E"/>
    <w:rsid w:val="29071177"/>
    <w:rsid w:val="29494582"/>
    <w:rsid w:val="29786D0E"/>
    <w:rsid w:val="29900D54"/>
    <w:rsid w:val="29CE6295"/>
    <w:rsid w:val="29E45AC5"/>
    <w:rsid w:val="29F42DF0"/>
    <w:rsid w:val="2A0A38C9"/>
    <w:rsid w:val="2A143F89"/>
    <w:rsid w:val="2A3B2E01"/>
    <w:rsid w:val="2A444B66"/>
    <w:rsid w:val="2A6422A0"/>
    <w:rsid w:val="2AB27937"/>
    <w:rsid w:val="2B064DFA"/>
    <w:rsid w:val="2B321EE4"/>
    <w:rsid w:val="2BE764B6"/>
    <w:rsid w:val="2C365BE9"/>
    <w:rsid w:val="2C753B81"/>
    <w:rsid w:val="2CB81F9F"/>
    <w:rsid w:val="2CCF26A4"/>
    <w:rsid w:val="2CD35A43"/>
    <w:rsid w:val="2CD77B68"/>
    <w:rsid w:val="2D3317A4"/>
    <w:rsid w:val="2DC647A7"/>
    <w:rsid w:val="2DEF3413"/>
    <w:rsid w:val="2DF213E9"/>
    <w:rsid w:val="2E110EB8"/>
    <w:rsid w:val="2E35221E"/>
    <w:rsid w:val="2E9B3BAB"/>
    <w:rsid w:val="2EA23A8A"/>
    <w:rsid w:val="2EAC1EA4"/>
    <w:rsid w:val="2EF85564"/>
    <w:rsid w:val="2F232039"/>
    <w:rsid w:val="2F2B6902"/>
    <w:rsid w:val="2F324CFE"/>
    <w:rsid w:val="2F35134C"/>
    <w:rsid w:val="2F4F1AB4"/>
    <w:rsid w:val="2F934C9B"/>
    <w:rsid w:val="300341EB"/>
    <w:rsid w:val="302E47A7"/>
    <w:rsid w:val="303D5900"/>
    <w:rsid w:val="304B546B"/>
    <w:rsid w:val="304C3DE1"/>
    <w:rsid w:val="30865227"/>
    <w:rsid w:val="30EE3D0A"/>
    <w:rsid w:val="30F77AE2"/>
    <w:rsid w:val="31836CBF"/>
    <w:rsid w:val="31AD21B1"/>
    <w:rsid w:val="31C53C17"/>
    <w:rsid w:val="31FE0A0D"/>
    <w:rsid w:val="32001619"/>
    <w:rsid w:val="32092BF1"/>
    <w:rsid w:val="322275CF"/>
    <w:rsid w:val="322F18B8"/>
    <w:rsid w:val="32620CE0"/>
    <w:rsid w:val="327A6482"/>
    <w:rsid w:val="329131C6"/>
    <w:rsid w:val="32B8002A"/>
    <w:rsid w:val="334A3C49"/>
    <w:rsid w:val="338B4C6D"/>
    <w:rsid w:val="33D8310E"/>
    <w:rsid w:val="33E06668"/>
    <w:rsid w:val="3411487C"/>
    <w:rsid w:val="34154757"/>
    <w:rsid w:val="34284051"/>
    <w:rsid w:val="34371435"/>
    <w:rsid w:val="348806A2"/>
    <w:rsid w:val="34C66CF1"/>
    <w:rsid w:val="34DC7A5D"/>
    <w:rsid w:val="35172CD2"/>
    <w:rsid w:val="356309A6"/>
    <w:rsid w:val="35894BEF"/>
    <w:rsid w:val="359B0B00"/>
    <w:rsid w:val="35E32505"/>
    <w:rsid w:val="35FF3DB4"/>
    <w:rsid w:val="36210C71"/>
    <w:rsid w:val="36443614"/>
    <w:rsid w:val="36696B59"/>
    <w:rsid w:val="36A15E2F"/>
    <w:rsid w:val="36C108E2"/>
    <w:rsid w:val="36CA4A4A"/>
    <w:rsid w:val="370138CA"/>
    <w:rsid w:val="370148DB"/>
    <w:rsid w:val="3727595E"/>
    <w:rsid w:val="37B6006D"/>
    <w:rsid w:val="37C74478"/>
    <w:rsid w:val="37F55979"/>
    <w:rsid w:val="38491876"/>
    <w:rsid w:val="385A0AAE"/>
    <w:rsid w:val="386573B6"/>
    <w:rsid w:val="38964377"/>
    <w:rsid w:val="38A74402"/>
    <w:rsid w:val="391C15A6"/>
    <w:rsid w:val="391D7F4F"/>
    <w:rsid w:val="39355C5A"/>
    <w:rsid w:val="393C11FC"/>
    <w:rsid w:val="393F0D7C"/>
    <w:rsid w:val="394167EE"/>
    <w:rsid w:val="39B20C35"/>
    <w:rsid w:val="39D31798"/>
    <w:rsid w:val="39DB4D30"/>
    <w:rsid w:val="39E01543"/>
    <w:rsid w:val="3A986F03"/>
    <w:rsid w:val="3AA21152"/>
    <w:rsid w:val="3ACF6129"/>
    <w:rsid w:val="3ADF2EAD"/>
    <w:rsid w:val="3B2020F1"/>
    <w:rsid w:val="3B6B145B"/>
    <w:rsid w:val="3BAB705C"/>
    <w:rsid w:val="3BE940D8"/>
    <w:rsid w:val="3C5652AB"/>
    <w:rsid w:val="3C77210A"/>
    <w:rsid w:val="3D3E1186"/>
    <w:rsid w:val="3D5E78D3"/>
    <w:rsid w:val="3D830432"/>
    <w:rsid w:val="3DBE0249"/>
    <w:rsid w:val="3DD518D1"/>
    <w:rsid w:val="3DD644F9"/>
    <w:rsid w:val="3DFD63DB"/>
    <w:rsid w:val="3E257DC6"/>
    <w:rsid w:val="3E511805"/>
    <w:rsid w:val="3EF8632A"/>
    <w:rsid w:val="3F23557A"/>
    <w:rsid w:val="3FC06CA7"/>
    <w:rsid w:val="3FF80EE5"/>
    <w:rsid w:val="40045666"/>
    <w:rsid w:val="40603D21"/>
    <w:rsid w:val="4096511B"/>
    <w:rsid w:val="40A73F52"/>
    <w:rsid w:val="40C238FC"/>
    <w:rsid w:val="4141362B"/>
    <w:rsid w:val="41A077B9"/>
    <w:rsid w:val="420959D5"/>
    <w:rsid w:val="42AA5CB7"/>
    <w:rsid w:val="43032043"/>
    <w:rsid w:val="433A27FB"/>
    <w:rsid w:val="434B5EF3"/>
    <w:rsid w:val="439821A6"/>
    <w:rsid w:val="43C9152E"/>
    <w:rsid w:val="43F85A7F"/>
    <w:rsid w:val="43FC3398"/>
    <w:rsid w:val="44650C80"/>
    <w:rsid w:val="44AF1778"/>
    <w:rsid w:val="44C16247"/>
    <w:rsid w:val="44F7474E"/>
    <w:rsid w:val="45126747"/>
    <w:rsid w:val="45135469"/>
    <w:rsid w:val="456A77DB"/>
    <w:rsid w:val="45A75CBA"/>
    <w:rsid w:val="45B90B57"/>
    <w:rsid w:val="45E136E7"/>
    <w:rsid w:val="45E972E0"/>
    <w:rsid w:val="462768AE"/>
    <w:rsid w:val="46373630"/>
    <w:rsid w:val="46AA528F"/>
    <w:rsid w:val="46D72D64"/>
    <w:rsid w:val="47B54C45"/>
    <w:rsid w:val="47BC499D"/>
    <w:rsid w:val="47DB58D1"/>
    <w:rsid w:val="47E23926"/>
    <w:rsid w:val="481F3862"/>
    <w:rsid w:val="483E3111"/>
    <w:rsid w:val="48852584"/>
    <w:rsid w:val="48D740BA"/>
    <w:rsid w:val="48E6347C"/>
    <w:rsid w:val="4916437D"/>
    <w:rsid w:val="49194D91"/>
    <w:rsid w:val="49222D18"/>
    <w:rsid w:val="49DC69DE"/>
    <w:rsid w:val="4AA37EB3"/>
    <w:rsid w:val="4AB41325"/>
    <w:rsid w:val="4AEB2B03"/>
    <w:rsid w:val="4B360C5C"/>
    <w:rsid w:val="4B553853"/>
    <w:rsid w:val="4B605FB4"/>
    <w:rsid w:val="4B850397"/>
    <w:rsid w:val="4BBB4231"/>
    <w:rsid w:val="4DB8448E"/>
    <w:rsid w:val="4E1A0C3E"/>
    <w:rsid w:val="4E1C1A1C"/>
    <w:rsid w:val="4E28143E"/>
    <w:rsid w:val="4E3B01F8"/>
    <w:rsid w:val="4E45302F"/>
    <w:rsid w:val="4E614A7C"/>
    <w:rsid w:val="4E7F2E75"/>
    <w:rsid w:val="4F041002"/>
    <w:rsid w:val="4F2946F0"/>
    <w:rsid w:val="4F314AEF"/>
    <w:rsid w:val="4F393695"/>
    <w:rsid w:val="4FDF0E90"/>
    <w:rsid w:val="500803F5"/>
    <w:rsid w:val="503C6532"/>
    <w:rsid w:val="50C77614"/>
    <w:rsid w:val="50DC6C6D"/>
    <w:rsid w:val="50E634CA"/>
    <w:rsid w:val="50E833CC"/>
    <w:rsid w:val="50F758BD"/>
    <w:rsid w:val="51203146"/>
    <w:rsid w:val="5175713A"/>
    <w:rsid w:val="51AC243B"/>
    <w:rsid w:val="51EE08F8"/>
    <w:rsid w:val="526F328F"/>
    <w:rsid w:val="527C12EF"/>
    <w:rsid w:val="52927969"/>
    <w:rsid w:val="52965396"/>
    <w:rsid w:val="52AD666E"/>
    <w:rsid w:val="52DC47D0"/>
    <w:rsid w:val="52EF0805"/>
    <w:rsid w:val="534736C2"/>
    <w:rsid w:val="53B04AD9"/>
    <w:rsid w:val="53C47CA8"/>
    <w:rsid w:val="53E64FB3"/>
    <w:rsid w:val="54BB4858"/>
    <w:rsid w:val="54F74926"/>
    <w:rsid w:val="55271161"/>
    <w:rsid w:val="552846C5"/>
    <w:rsid w:val="554064E9"/>
    <w:rsid w:val="556C155F"/>
    <w:rsid w:val="55A003A4"/>
    <w:rsid w:val="55A27A6A"/>
    <w:rsid w:val="55AF78C8"/>
    <w:rsid w:val="55C976E5"/>
    <w:rsid w:val="55D05DE9"/>
    <w:rsid w:val="55EA5E45"/>
    <w:rsid w:val="56522465"/>
    <w:rsid w:val="56912EFB"/>
    <w:rsid w:val="56927563"/>
    <w:rsid w:val="56F2429D"/>
    <w:rsid w:val="5752295A"/>
    <w:rsid w:val="5761533E"/>
    <w:rsid w:val="578A4F21"/>
    <w:rsid w:val="57A75289"/>
    <w:rsid w:val="57FF2DC8"/>
    <w:rsid w:val="583174F4"/>
    <w:rsid w:val="583D29EB"/>
    <w:rsid w:val="586C1B66"/>
    <w:rsid w:val="5877399E"/>
    <w:rsid w:val="587E3349"/>
    <w:rsid w:val="589D34DC"/>
    <w:rsid w:val="59545699"/>
    <w:rsid w:val="59704F39"/>
    <w:rsid w:val="59A276C4"/>
    <w:rsid w:val="59AA5766"/>
    <w:rsid w:val="59CA2688"/>
    <w:rsid w:val="5A1E5E94"/>
    <w:rsid w:val="5A2537F3"/>
    <w:rsid w:val="5A2A18E4"/>
    <w:rsid w:val="5A4C5C31"/>
    <w:rsid w:val="5A6D3BE8"/>
    <w:rsid w:val="5A6D57F2"/>
    <w:rsid w:val="5A732A76"/>
    <w:rsid w:val="5AB10955"/>
    <w:rsid w:val="5B8F64B2"/>
    <w:rsid w:val="5BB103E7"/>
    <w:rsid w:val="5BB55EB1"/>
    <w:rsid w:val="5BCC76B7"/>
    <w:rsid w:val="5C051F1C"/>
    <w:rsid w:val="5CBA0510"/>
    <w:rsid w:val="5CCD5BFD"/>
    <w:rsid w:val="5D0F57E5"/>
    <w:rsid w:val="5D9B243D"/>
    <w:rsid w:val="5DC30A26"/>
    <w:rsid w:val="5E2127CA"/>
    <w:rsid w:val="5E315B37"/>
    <w:rsid w:val="5E3453A8"/>
    <w:rsid w:val="5E975652"/>
    <w:rsid w:val="5EAD768A"/>
    <w:rsid w:val="5EBC3A26"/>
    <w:rsid w:val="5EC21603"/>
    <w:rsid w:val="5F1F510E"/>
    <w:rsid w:val="5F2672A6"/>
    <w:rsid w:val="5F66271B"/>
    <w:rsid w:val="5F715F09"/>
    <w:rsid w:val="5FCE41CD"/>
    <w:rsid w:val="60027AB0"/>
    <w:rsid w:val="60EB2D8D"/>
    <w:rsid w:val="61574882"/>
    <w:rsid w:val="6176692F"/>
    <w:rsid w:val="61C77B65"/>
    <w:rsid w:val="61D84114"/>
    <w:rsid w:val="62472E82"/>
    <w:rsid w:val="626A6B9C"/>
    <w:rsid w:val="628234B4"/>
    <w:rsid w:val="62A84313"/>
    <w:rsid w:val="62F01399"/>
    <w:rsid w:val="63216A8F"/>
    <w:rsid w:val="632550F0"/>
    <w:rsid w:val="6470555B"/>
    <w:rsid w:val="64EE6297"/>
    <w:rsid w:val="65091788"/>
    <w:rsid w:val="65665559"/>
    <w:rsid w:val="65BB4A70"/>
    <w:rsid w:val="66095795"/>
    <w:rsid w:val="665C3F5A"/>
    <w:rsid w:val="665D487D"/>
    <w:rsid w:val="667E0C12"/>
    <w:rsid w:val="676E629F"/>
    <w:rsid w:val="677A4A58"/>
    <w:rsid w:val="67882978"/>
    <w:rsid w:val="67965906"/>
    <w:rsid w:val="679912AF"/>
    <w:rsid w:val="67CD360C"/>
    <w:rsid w:val="6876050A"/>
    <w:rsid w:val="68D6257B"/>
    <w:rsid w:val="697A7AFD"/>
    <w:rsid w:val="698718B2"/>
    <w:rsid w:val="69C70586"/>
    <w:rsid w:val="6A7E34D1"/>
    <w:rsid w:val="6A9572FD"/>
    <w:rsid w:val="6A9B2433"/>
    <w:rsid w:val="6AC51BCA"/>
    <w:rsid w:val="6AE705D2"/>
    <w:rsid w:val="6B1B185B"/>
    <w:rsid w:val="6B4B25F7"/>
    <w:rsid w:val="6B6B74C9"/>
    <w:rsid w:val="6BEC6043"/>
    <w:rsid w:val="6C1016F3"/>
    <w:rsid w:val="6C2E21C3"/>
    <w:rsid w:val="6C32400C"/>
    <w:rsid w:val="6C5000C5"/>
    <w:rsid w:val="6CCC5B28"/>
    <w:rsid w:val="6D435157"/>
    <w:rsid w:val="6D4C7774"/>
    <w:rsid w:val="6D8B12B1"/>
    <w:rsid w:val="6DC23A5C"/>
    <w:rsid w:val="6DE67197"/>
    <w:rsid w:val="6E523E19"/>
    <w:rsid w:val="6E6D5537"/>
    <w:rsid w:val="6EAA2479"/>
    <w:rsid w:val="6F094472"/>
    <w:rsid w:val="6F44559B"/>
    <w:rsid w:val="6F5E67CF"/>
    <w:rsid w:val="6F773DE8"/>
    <w:rsid w:val="6FA177BB"/>
    <w:rsid w:val="6FF722B9"/>
    <w:rsid w:val="70053549"/>
    <w:rsid w:val="701A578C"/>
    <w:rsid w:val="70312E73"/>
    <w:rsid w:val="70462984"/>
    <w:rsid w:val="709F57A9"/>
    <w:rsid w:val="70E0431C"/>
    <w:rsid w:val="70FC192C"/>
    <w:rsid w:val="71AB1D37"/>
    <w:rsid w:val="71BA14A9"/>
    <w:rsid w:val="71EC5A1E"/>
    <w:rsid w:val="72137797"/>
    <w:rsid w:val="72223DEE"/>
    <w:rsid w:val="72854CA8"/>
    <w:rsid w:val="7294477D"/>
    <w:rsid w:val="7310005F"/>
    <w:rsid w:val="73161DEE"/>
    <w:rsid w:val="731F3CA4"/>
    <w:rsid w:val="735D3D4B"/>
    <w:rsid w:val="73A53A52"/>
    <w:rsid w:val="740C6B6E"/>
    <w:rsid w:val="74312230"/>
    <w:rsid w:val="74877FE3"/>
    <w:rsid w:val="749D288E"/>
    <w:rsid w:val="74E0799E"/>
    <w:rsid w:val="7505699E"/>
    <w:rsid w:val="75583457"/>
    <w:rsid w:val="756D363C"/>
    <w:rsid w:val="75A54C57"/>
    <w:rsid w:val="75D20631"/>
    <w:rsid w:val="76000C8C"/>
    <w:rsid w:val="762C21BE"/>
    <w:rsid w:val="76632F30"/>
    <w:rsid w:val="766A30C6"/>
    <w:rsid w:val="76AF1E02"/>
    <w:rsid w:val="77407988"/>
    <w:rsid w:val="77457510"/>
    <w:rsid w:val="78055557"/>
    <w:rsid w:val="78452AA4"/>
    <w:rsid w:val="7865313E"/>
    <w:rsid w:val="786F467E"/>
    <w:rsid w:val="788E2DAE"/>
    <w:rsid w:val="78B06DBC"/>
    <w:rsid w:val="78B70DE2"/>
    <w:rsid w:val="78C21800"/>
    <w:rsid w:val="78C92DB3"/>
    <w:rsid w:val="78CC1CE3"/>
    <w:rsid w:val="78FF080F"/>
    <w:rsid w:val="79137CFD"/>
    <w:rsid w:val="797573C3"/>
    <w:rsid w:val="798A7F63"/>
    <w:rsid w:val="79B25BA7"/>
    <w:rsid w:val="79B47C82"/>
    <w:rsid w:val="79C90337"/>
    <w:rsid w:val="7A013C83"/>
    <w:rsid w:val="7A685D87"/>
    <w:rsid w:val="7AC147A4"/>
    <w:rsid w:val="7B14497B"/>
    <w:rsid w:val="7B231E32"/>
    <w:rsid w:val="7B243460"/>
    <w:rsid w:val="7B322660"/>
    <w:rsid w:val="7B35042F"/>
    <w:rsid w:val="7B5329A0"/>
    <w:rsid w:val="7B6108D9"/>
    <w:rsid w:val="7B7655DE"/>
    <w:rsid w:val="7BB331CC"/>
    <w:rsid w:val="7BD444FC"/>
    <w:rsid w:val="7BE61072"/>
    <w:rsid w:val="7BF172A9"/>
    <w:rsid w:val="7C4D5A38"/>
    <w:rsid w:val="7C700404"/>
    <w:rsid w:val="7C9E2D2A"/>
    <w:rsid w:val="7CC75040"/>
    <w:rsid w:val="7D137BDD"/>
    <w:rsid w:val="7D320274"/>
    <w:rsid w:val="7D345976"/>
    <w:rsid w:val="7D484B43"/>
    <w:rsid w:val="7D505178"/>
    <w:rsid w:val="7D6F1CD1"/>
    <w:rsid w:val="7D71105E"/>
    <w:rsid w:val="7D99270F"/>
    <w:rsid w:val="7DBD178F"/>
    <w:rsid w:val="7DF30A29"/>
    <w:rsid w:val="7DFE139D"/>
    <w:rsid w:val="7E397DC9"/>
    <w:rsid w:val="7ECA462E"/>
    <w:rsid w:val="7F0C5F65"/>
    <w:rsid w:val="7F0C705A"/>
    <w:rsid w:val="7F2E0FB4"/>
    <w:rsid w:val="7F3371D5"/>
    <w:rsid w:val="7F5D4081"/>
    <w:rsid w:val="7F740628"/>
    <w:rsid w:val="7F7424E1"/>
    <w:rsid w:val="7FBC3F35"/>
    <w:rsid w:val="7FC250AB"/>
    <w:rsid w:val="7FF3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iPriority="99" w:semiHidden="0" w:name="HTML Acronym"/>
    <w:lsdException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unhideWhenUsed="0" w:uiPriority="0" w:semiHidden="0" w:name="HTML Typewriter"/>
    <w:lsdException w:qFormat="1" w:uiPriority="99" w:semiHidden="0" w:name="HTML Variable"/>
    <w:lsdException w:uiPriority="99" w:name="Normal Table"/>
    <w:lsdException w:qFormat="1"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99" w:name="Placeholder Text"/>
    <w:lsdException w:qFormat="1" w:unhideWhenUsed="0" w:uiPriority="1" w:semiHidden="0" w:name="No Spacing"/>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61"/>
    <w:qFormat/>
    <w:uiPriority w:val="9"/>
    <w:pPr>
      <w:keepNext/>
      <w:keepLines/>
      <w:spacing w:before="340" w:after="330" w:line="576" w:lineRule="auto"/>
      <w:outlineLvl w:val="0"/>
    </w:pPr>
    <w:rPr>
      <w:rFonts w:ascii="Times New Roman" w:hAnsi="Times New Roman"/>
      <w:b/>
      <w:kern w:val="44"/>
      <w:sz w:val="44"/>
      <w:szCs w:val="20"/>
    </w:rPr>
  </w:style>
  <w:style w:type="paragraph" w:styleId="3">
    <w:name w:val="heading 2"/>
    <w:basedOn w:val="1"/>
    <w:next w:val="1"/>
    <w:link w:val="64"/>
    <w:qFormat/>
    <w:uiPriority w:val="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96"/>
    <w:qFormat/>
    <w:uiPriority w:val="9"/>
    <w:pPr>
      <w:keepNext/>
      <w:keepLines/>
      <w:spacing w:before="260" w:after="260" w:line="413" w:lineRule="auto"/>
      <w:outlineLvl w:val="2"/>
    </w:pPr>
    <w:rPr>
      <w:b/>
      <w:sz w:val="32"/>
    </w:rPr>
  </w:style>
  <w:style w:type="paragraph" w:styleId="5">
    <w:name w:val="heading 4"/>
    <w:basedOn w:val="1"/>
    <w:next w:val="1"/>
    <w:link w:val="83"/>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84"/>
    <w:unhideWhenUsed/>
    <w:qFormat/>
    <w:uiPriority w:val="0"/>
    <w:pPr>
      <w:keepNext/>
      <w:keepLines/>
      <w:spacing w:before="280" w:after="290" w:line="376" w:lineRule="auto"/>
      <w:ind w:firstLine="200" w:firstLineChars="200"/>
      <w:outlineLvl w:val="4"/>
    </w:pPr>
    <w:rPr>
      <w:rFonts w:ascii="Times New Roman" w:hAnsi="Times New Roman" w:eastAsia="仿宋_GB2312" w:cstheme="minorBidi"/>
      <w:b/>
      <w:bCs/>
      <w:sz w:val="28"/>
      <w:szCs w:val="28"/>
    </w:rPr>
  </w:style>
  <w:style w:type="paragraph" w:styleId="7">
    <w:name w:val="heading 6"/>
    <w:basedOn w:val="1"/>
    <w:next w:val="1"/>
    <w:link w:val="85"/>
    <w:qFormat/>
    <w:uiPriority w:val="0"/>
    <w:pPr>
      <w:keepNext/>
      <w:keepLines/>
      <w:widowControl/>
      <w:tabs>
        <w:tab w:val="left" w:pos="1080"/>
      </w:tabs>
      <w:spacing w:before="200" w:line="259" w:lineRule="auto"/>
      <w:ind w:left="1080" w:hanging="1080" w:firstLineChars="200"/>
      <w:jc w:val="left"/>
      <w:outlineLvl w:val="5"/>
    </w:pPr>
    <w:rPr>
      <w:rFonts w:ascii="Calibri Light" w:hAnsi="Calibri Light" w:eastAsia="仿宋_GB2312" w:cstheme="minorBidi"/>
      <w:i/>
      <w:iCs/>
      <w:color w:val="252525"/>
      <w:kern w:val="0"/>
      <w:sz w:val="20"/>
      <w:szCs w:val="20"/>
    </w:rPr>
  </w:style>
  <w:style w:type="paragraph" w:styleId="8">
    <w:name w:val="heading 7"/>
    <w:basedOn w:val="1"/>
    <w:next w:val="1"/>
    <w:link w:val="86"/>
    <w:qFormat/>
    <w:uiPriority w:val="0"/>
    <w:pPr>
      <w:keepNext/>
      <w:keepLines/>
      <w:widowControl/>
      <w:tabs>
        <w:tab w:val="left" w:pos="1440"/>
      </w:tabs>
      <w:spacing w:before="200" w:line="259" w:lineRule="auto"/>
      <w:ind w:left="1440" w:hanging="1440" w:firstLineChars="200"/>
      <w:jc w:val="left"/>
      <w:outlineLvl w:val="6"/>
    </w:pPr>
    <w:rPr>
      <w:rFonts w:ascii="Calibri Light" w:hAnsi="Calibri Light" w:eastAsia="仿宋_GB2312" w:cstheme="minorBidi"/>
      <w:i/>
      <w:iCs/>
      <w:color w:val="404040"/>
      <w:kern w:val="0"/>
      <w:sz w:val="20"/>
      <w:szCs w:val="20"/>
    </w:rPr>
  </w:style>
  <w:style w:type="paragraph" w:styleId="9">
    <w:name w:val="heading 8"/>
    <w:basedOn w:val="1"/>
    <w:next w:val="1"/>
    <w:link w:val="87"/>
    <w:qFormat/>
    <w:uiPriority w:val="0"/>
    <w:pPr>
      <w:keepNext/>
      <w:keepLines/>
      <w:widowControl/>
      <w:tabs>
        <w:tab w:val="left" w:pos="1440"/>
      </w:tabs>
      <w:spacing w:before="200" w:line="259" w:lineRule="auto"/>
      <w:ind w:left="1440" w:hanging="1440" w:firstLineChars="200"/>
      <w:jc w:val="left"/>
      <w:outlineLvl w:val="7"/>
    </w:pPr>
    <w:rPr>
      <w:rFonts w:ascii="Calibri Light" w:hAnsi="Calibri Light" w:eastAsia="仿宋_GB2312" w:cstheme="minorBidi"/>
      <w:color w:val="404040"/>
      <w:kern w:val="0"/>
      <w:sz w:val="20"/>
      <w:szCs w:val="20"/>
    </w:rPr>
  </w:style>
  <w:style w:type="paragraph" w:styleId="10">
    <w:name w:val="heading 9"/>
    <w:basedOn w:val="1"/>
    <w:next w:val="1"/>
    <w:link w:val="88"/>
    <w:qFormat/>
    <w:uiPriority w:val="0"/>
    <w:pPr>
      <w:keepNext/>
      <w:keepLines/>
      <w:widowControl/>
      <w:tabs>
        <w:tab w:val="left" w:pos="1800"/>
      </w:tabs>
      <w:spacing w:before="200" w:line="259" w:lineRule="auto"/>
      <w:ind w:left="1800" w:hanging="1800" w:firstLineChars="200"/>
      <w:jc w:val="left"/>
      <w:outlineLvl w:val="8"/>
    </w:pPr>
    <w:rPr>
      <w:rFonts w:ascii="Calibri Light" w:hAnsi="Calibri Light" w:eastAsia="仿宋_GB2312" w:cstheme="minorBidi"/>
      <w:i/>
      <w:iCs/>
      <w:color w:val="404040"/>
      <w:kern w:val="0"/>
      <w:sz w:val="20"/>
      <w:szCs w:val="20"/>
    </w:rPr>
  </w:style>
  <w:style w:type="character" w:default="1" w:styleId="41">
    <w:name w:val="Default Paragraph Font"/>
    <w:semiHidden/>
    <w:unhideWhenUsed/>
    <w:uiPriority w:val="1"/>
  </w:style>
  <w:style w:type="table" w:default="1" w:styleId="38">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Normal Indent"/>
    <w:basedOn w:val="1"/>
    <w:link w:val="235"/>
    <w:unhideWhenUsed/>
    <w:qFormat/>
    <w:uiPriority w:val="0"/>
    <w:pPr>
      <w:adjustRightInd w:val="0"/>
      <w:spacing w:line="360" w:lineRule="atLeast"/>
      <w:ind w:firstLine="420" w:firstLineChars="200"/>
      <w:jc w:val="left"/>
      <w:textAlignment w:val="baseline"/>
    </w:pPr>
    <w:rPr>
      <w:rFonts w:ascii="Times New Roman" w:hAnsi="Times New Roman" w:eastAsia="仿宋_GB2312" w:cstheme="minorBidi"/>
      <w:kern w:val="0"/>
      <w:sz w:val="24"/>
      <w:szCs w:val="20"/>
    </w:rPr>
  </w:style>
  <w:style w:type="paragraph" w:styleId="13">
    <w:name w:val="caption"/>
    <w:basedOn w:val="1"/>
    <w:next w:val="1"/>
    <w:link w:val="172"/>
    <w:unhideWhenUsed/>
    <w:qFormat/>
    <w:uiPriority w:val="0"/>
    <w:rPr>
      <w:rFonts w:ascii="Cambria" w:hAnsi="Cambria" w:eastAsia="黑体"/>
      <w:sz w:val="20"/>
      <w:szCs w:val="20"/>
    </w:rPr>
  </w:style>
  <w:style w:type="paragraph" w:styleId="14">
    <w:name w:val="Document Map"/>
    <w:basedOn w:val="1"/>
    <w:link w:val="63"/>
    <w:qFormat/>
    <w:uiPriority w:val="0"/>
    <w:rPr>
      <w:rFonts w:ascii="宋体"/>
      <w:sz w:val="18"/>
      <w:szCs w:val="18"/>
    </w:rPr>
  </w:style>
  <w:style w:type="paragraph" w:styleId="15">
    <w:name w:val="annotation text"/>
    <w:basedOn w:val="1"/>
    <w:link w:val="89"/>
    <w:unhideWhenUsed/>
    <w:qFormat/>
    <w:uiPriority w:val="99"/>
    <w:pPr>
      <w:jc w:val="left"/>
    </w:pPr>
    <w:rPr>
      <w:rFonts w:ascii="Times New Roman" w:hAnsi="Times New Roman" w:cs="宋体"/>
      <w:sz w:val="24"/>
      <w:szCs w:val="24"/>
    </w:rPr>
  </w:style>
  <w:style w:type="paragraph" w:styleId="16">
    <w:name w:val="Body Text"/>
    <w:basedOn w:val="1"/>
    <w:unhideWhenUsed/>
    <w:qFormat/>
    <w:uiPriority w:val="1"/>
    <w:rPr>
      <w:rFonts w:hint="eastAsia"/>
      <w:sz w:val="28"/>
    </w:rPr>
  </w:style>
  <w:style w:type="paragraph" w:styleId="17">
    <w:name w:val="Body Text Indent"/>
    <w:basedOn w:val="1"/>
    <w:link w:val="90"/>
    <w:qFormat/>
    <w:uiPriority w:val="0"/>
    <w:pPr>
      <w:spacing w:after="120"/>
      <w:ind w:left="420" w:leftChars="200"/>
    </w:pPr>
  </w:style>
  <w:style w:type="paragraph" w:styleId="18">
    <w:name w:val="List 2"/>
    <w:basedOn w:val="1"/>
    <w:qFormat/>
    <w:uiPriority w:val="0"/>
    <w:pPr>
      <w:ind w:left="100" w:leftChars="200" w:hanging="200" w:hangingChars="200"/>
    </w:pPr>
    <w:rPr>
      <w:szCs w:val="20"/>
    </w:rPr>
  </w:style>
  <w:style w:type="paragraph" w:styleId="19">
    <w:name w:val="Block Text"/>
    <w:basedOn w:val="1"/>
    <w:qFormat/>
    <w:uiPriority w:val="0"/>
    <w:pPr>
      <w:spacing w:after="120"/>
      <w:ind w:left="1440" w:right="1440"/>
    </w:pPr>
    <w:rPr>
      <w:rFonts w:hint="eastAsia" w:ascii="仿宋_GB2312" w:hAnsi="Arial Black"/>
      <w:sz w:val="28"/>
    </w:rPr>
  </w:style>
  <w:style w:type="paragraph" w:styleId="20">
    <w:name w:val="toc 5"/>
    <w:basedOn w:val="1"/>
    <w:next w:val="1"/>
    <w:qFormat/>
    <w:uiPriority w:val="39"/>
    <w:pPr>
      <w:ind w:left="1680" w:leftChars="800"/>
    </w:pPr>
  </w:style>
  <w:style w:type="paragraph" w:styleId="21">
    <w:name w:val="toc 3"/>
    <w:basedOn w:val="1"/>
    <w:next w:val="1"/>
    <w:qFormat/>
    <w:uiPriority w:val="39"/>
    <w:pPr>
      <w:ind w:left="840" w:leftChars="400"/>
    </w:pPr>
  </w:style>
  <w:style w:type="paragraph" w:styleId="22">
    <w:name w:val="toc 8"/>
    <w:basedOn w:val="1"/>
    <w:next w:val="1"/>
    <w:qFormat/>
    <w:uiPriority w:val="39"/>
    <w:pPr>
      <w:ind w:left="2940" w:leftChars="1400"/>
    </w:pPr>
  </w:style>
  <w:style w:type="paragraph" w:styleId="23">
    <w:name w:val="Date"/>
    <w:basedOn w:val="1"/>
    <w:next w:val="1"/>
    <w:link w:val="70"/>
    <w:qFormat/>
    <w:uiPriority w:val="99"/>
    <w:pPr>
      <w:ind w:left="100" w:leftChars="2500"/>
    </w:pPr>
  </w:style>
  <w:style w:type="paragraph" w:styleId="24">
    <w:name w:val="Balloon Text"/>
    <w:basedOn w:val="1"/>
    <w:link w:val="59"/>
    <w:qFormat/>
    <w:uiPriority w:val="99"/>
    <w:rPr>
      <w:sz w:val="18"/>
      <w:szCs w:val="18"/>
    </w:rPr>
  </w:style>
  <w:style w:type="paragraph" w:styleId="25">
    <w:name w:val="footer"/>
    <w:basedOn w:val="1"/>
    <w:link w:val="62"/>
    <w:qFormat/>
    <w:uiPriority w:val="99"/>
    <w:pPr>
      <w:tabs>
        <w:tab w:val="center" w:pos="4153"/>
        <w:tab w:val="right" w:pos="8306"/>
      </w:tabs>
      <w:snapToGrid w:val="0"/>
      <w:jc w:val="left"/>
    </w:pPr>
    <w:rPr>
      <w:sz w:val="18"/>
      <w:szCs w:val="18"/>
    </w:rPr>
  </w:style>
  <w:style w:type="paragraph" w:styleId="26">
    <w:name w:val="header"/>
    <w:basedOn w:val="1"/>
    <w:link w:val="60"/>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style>
  <w:style w:type="paragraph" w:styleId="28">
    <w:name w:val="toc 4"/>
    <w:basedOn w:val="1"/>
    <w:next w:val="1"/>
    <w:qFormat/>
    <w:uiPriority w:val="39"/>
    <w:pPr>
      <w:ind w:left="1260" w:leftChars="600"/>
    </w:pPr>
  </w:style>
  <w:style w:type="paragraph" w:styleId="29">
    <w:name w:val="Subtitle"/>
    <w:basedOn w:val="1"/>
    <w:next w:val="1"/>
    <w:link w:val="91"/>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30">
    <w:name w:val="toc 6"/>
    <w:basedOn w:val="1"/>
    <w:next w:val="1"/>
    <w:qFormat/>
    <w:uiPriority w:val="39"/>
    <w:pPr>
      <w:ind w:left="2100" w:leftChars="1000"/>
    </w:pPr>
  </w:style>
  <w:style w:type="paragraph" w:styleId="31">
    <w:name w:val="toc 2"/>
    <w:basedOn w:val="1"/>
    <w:next w:val="1"/>
    <w:qFormat/>
    <w:uiPriority w:val="39"/>
    <w:pPr>
      <w:ind w:left="420" w:leftChars="200"/>
    </w:pPr>
  </w:style>
  <w:style w:type="paragraph" w:styleId="32">
    <w:name w:val="toc 9"/>
    <w:basedOn w:val="1"/>
    <w:next w:val="1"/>
    <w:qFormat/>
    <w:uiPriority w:val="39"/>
    <w:pPr>
      <w:ind w:left="3360" w:leftChars="1600"/>
    </w:pPr>
  </w:style>
  <w:style w:type="paragraph" w:styleId="33">
    <w:name w:val="HTML Preformatted"/>
    <w:basedOn w:val="1"/>
    <w:link w:val="92"/>
    <w:qFormat/>
    <w:uiPriority w:val="0"/>
    <w:rPr>
      <w:rFonts w:ascii="Courier New" w:hAnsi="Courier New" w:cs="Courier New" w:eastAsiaTheme="minorEastAsia"/>
      <w:sz w:val="24"/>
      <w:szCs w:val="20"/>
    </w:rPr>
  </w:style>
  <w:style w:type="paragraph" w:styleId="34">
    <w:name w:val="Normal (Web)"/>
    <w:basedOn w:val="1"/>
    <w:qFormat/>
    <w:uiPriority w:val="0"/>
    <w:rPr>
      <w:sz w:val="24"/>
    </w:rPr>
  </w:style>
  <w:style w:type="paragraph" w:styleId="35">
    <w:name w:val="index 1"/>
    <w:basedOn w:val="1"/>
    <w:next w:val="1"/>
    <w:unhideWhenUsed/>
    <w:qFormat/>
    <w:uiPriority w:val="0"/>
    <w:pPr>
      <w:spacing w:line="360" w:lineRule="auto"/>
      <w:jc w:val="center"/>
    </w:pPr>
    <w:rPr>
      <w:rFonts w:ascii="Times New Roman" w:hAnsi="Times New Roman"/>
      <w:color w:val="000000"/>
      <w:szCs w:val="21"/>
    </w:rPr>
  </w:style>
  <w:style w:type="paragraph" w:styleId="36">
    <w:name w:val="Title"/>
    <w:basedOn w:val="1"/>
    <w:next w:val="1"/>
    <w:link w:val="93"/>
    <w:qFormat/>
    <w:uiPriority w:val="0"/>
    <w:pPr>
      <w:spacing w:before="240" w:after="60"/>
      <w:jc w:val="center"/>
      <w:outlineLvl w:val="0"/>
    </w:pPr>
    <w:rPr>
      <w:rFonts w:asciiTheme="majorHAnsi" w:hAnsiTheme="majorHAnsi" w:cstheme="majorBidi"/>
      <w:b/>
      <w:bCs/>
      <w:sz w:val="32"/>
      <w:szCs w:val="32"/>
    </w:rPr>
  </w:style>
  <w:style w:type="paragraph" w:styleId="37">
    <w:name w:val="annotation subject"/>
    <w:basedOn w:val="15"/>
    <w:next w:val="15"/>
    <w:link w:val="94"/>
    <w:unhideWhenUsed/>
    <w:qFormat/>
    <w:uiPriority w:val="99"/>
    <w:rPr>
      <w:b/>
      <w:bCs/>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0">
    <w:name w:val="Light Shading"/>
    <w:basedOn w:val="38"/>
    <w:qFormat/>
    <w:uiPriority w:val="60"/>
    <w:rPr>
      <w:rFonts w:ascii="Calibri" w:hAnsi="Calibri" w:eastAsia="宋体" w:cs="Times New Roman"/>
      <w:color w:val="000000"/>
      <w:sz w:val="21"/>
      <w:szCs w:val="22"/>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42">
    <w:name w:val="Strong"/>
    <w:basedOn w:val="41"/>
    <w:qFormat/>
    <w:uiPriority w:val="22"/>
    <w:rPr>
      <w:b/>
      <w:bCs/>
    </w:rPr>
  </w:style>
  <w:style w:type="character" w:styleId="43">
    <w:name w:val="page number"/>
    <w:basedOn w:val="41"/>
    <w:qFormat/>
    <w:uiPriority w:val="0"/>
    <w:rPr>
      <w:rFonts w:hint="default"/>
      <w:sz w:val="24"/>
    </w:rPr>
  </w:style>
  <w:style w:type="character" w:styleId="44">
    <w:name w:val="FollowedHyperlink"/>
    <w:unhideWhenUsed/>
    <w:qFormat/>
    <w:uiPriority w:val="99"/>
    <w:rPr>
      <w:color w:val="338DE6"/>
      <w:u w:val="none"/>
    </w:rPr>
  </w:style>
  <w:style w:type="character" w:styleId="45">
    <w:name w:val="Emphasis"/>
    <w:qFormat/>
    <w:uiPriority w:val="20"/>
  </w:style>
  <w:style w:type="character" w:styleId="46">
    <w:name w:val="HTML Definition"/>
    <w:unhideWhenUsed/>
    <w:qFormat/>
    <w:uiPriority w:val="99"/>
  </w:style>
  <w:style w:type="character" w:styleId="47">
    <w:name w:val="HTML Acronym"/>
    <w:basedOn w:val="41"/>
    <w:unhideWhenUsed/>
    <w:qFormat/>
    <w:uiPriority w:val="99"/>
  </w:style>
  <w:style w:type="character" w:styleId="48">
    <w:name w:val="HTML Variable"/>
    <w:unhideWhenUsed/>
    <w:qFormat/>
    <w:uiPriority w:val="99"/>
  </w:style>
  <w:style w:type="character" w:styleId="49">
    <w:name w:val="Hyperlink"/>
    <w:qFormat/>
    <w:uiPriority w:val="99"/>
    <w:rPr>
      <w:color w:val="0000FF"/>
      <w:u w:val="single"/>
    </w:rPr>
  </w:style>
  <w:style w:type="character" w:styleId="50">
    <w:name w:val="HTML Code"/>
    <w:unhideWhenUsed/>
    <w:qFormat/>
    <w:uiPriority w:val="99"/>
    <w:rPr>
      <w:rFonts w:hint="default" w:ascii="monospace" w:hAnsi="monospace" w:eastAsia="monospace" w:cs="monospace"/>
      <w:sz w:val="21"/>
      <w:szCs w:val="21"/>
    </w:rPr>
  </w:style>
  <w:style w:type="character" w:styleId="51">
    <w:name w:val="annotation reference"/>
    <w:basedOn w:val="41"/>
    <w:unhideWhenUsed/>
    <w:qFormat/>
    <w:uiPriority w:val="99"/>
    <w:rPr>
      <w:sz w:val="21"/>
      <w:szCs w:val="21"/>
    </w:rPr>
  </w:style>
  <w:style w:type="character" w:styleId="52">
    <w:name w:val="HTML Cite"/>
    <w:unhideWhenUsed/>
    <w:qFormat/>
    <w:uiPriority w:val="99"/>
  </w:style>
  <w:style w:type="character" w:styleId="53">
    <w:name w:val="HTML Keyboard"/>
    <w:unhideWhenUsed/>
    <w:qFormat/>
    <w:uiPriority w:val="99"/>
    <w:rPr>
      <w:rFonts w:ascii="monospace" w:hAnsi="monospace" w:eastAsia="monospace" w:cs="monospace"/>
      <w:sz w:val="21"/>
      <w:szCs w:val="21"/>
    </w:rPr>
  </w:style>
  <w:style w:type="character" w:styleId="54">
    <w:name w:val="HTML Sample"/>
    <w:unhideWhenUsed/>
    <w:qFormat/>
    <w:uiPriority w:val="99"/>
    <w:rPr>
      <w:rFonts w:hint="default" w:ascii="monospace" w:hAnsi="monospace" w:eastAsia="monospace" w:cs="monospace"/>
      <w:sz w:val="21"/>
      <w:szCs w:val="21"/>
    </w:rPr>
  </w:style>
  <w:style w:type="paragraph" w:customStyle="1" w:styleId="55">
    <w:name w:val="列出段落1"/>
    <w:basedOn w:val="1"/>
    <w:qFormat/>
    <w:uiPriority w:val="34"/>
    <w:pPr>
      <w:ind w:firstLine="420" w:firstLineChars="200"/>
    </w:pPr>
  </w:style>
  <w:style w:type="paragraph" w:customStyle="1" w:styleId="56">
    <w:name w:val="_Style 25"/>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57">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58">
    <w:name w:val="图文框"/>
    <w:basedOn w:val="1"/>
    <w:qFormat/>
    <w:uiPriority w:val="0"/>
    <w:pPr>
      <w:jc w:val="center"/>
    </w:pPr>
    <w:rPr>
      <w:rFonts w:ascii="宋体" w:hAnsi="宋体" w:eastAsia="仿宋_GB2312"/>
      <w:sz w:val="24"/>
      <w:szCs w:val="24"/>
    </w:rPr>
  </w:style>
  <w:style w:type="character" w:customStyle="1" w:styleId="59">
    <w:name w:val="批注框文本 Char"/>
    <w:link w:val="24"/>
    <w:qFormat/>
    <w:uiPriority w:val="99"/>
    <w:rPr>
      <w:rFonts w:ascii="Calibri" w:hAnsi="Calibri"/>
      <w:kern w:val="2"/>
      <w:sz w:val="18"/>
      <w:szCs w:val="18"/>
    </w:rPr>
  </w:style>
  <w:style w:type="character" w:customStyle="1" w:styleId="60">
    <w:name w:val="页眉 Char"/>
    <w:link w:val="26"/>
    <w:qFormat/>
    <w:uiPriority w:val="99"/>
    <w:rPr>
      <w:rFonts w:ascii="Calibri" w:hAnsi="Calibri"/>
      <w:kern w:val="2"/>
      <w:sz w:val="18"/>
      <w:szCs w:val="18"/>
    </w:rPr>
  </w:style>
  <w:style w:type="character" w:customStyle="1" w:styleId="61">
    <w:name w:val="标题 1 Char"/>
    <w:link w:val="2"/>
    <w:qFormat/>
    <w:uiPriority w:val="9"/>
    <w:rPr>
      <w:b/>
      <w:kern w:val="44"/>
      <w:sz w:val="44"/>
    </w:rPr>
  </w:style>
  <w:style w:type="character" w:customStyle="1" w:styleId="62">
    <w:name w:val="页脚 Char"/>
    <w:link w:val="25"/>
    <w:qFormat/>
    <w:locked/>
    <w:uiPriority w:val="99"/>
    <w:rPr>
      <w:rFonts w:ascii="Calibri" w:hAnsi="Calibri"/>
      <w:kern w:val="2"/>
      <w:sz w:val="18"/>
      <w:szCs w:val="18"/>
    </w:rPr>
  </w:style>
  <w:style w:type="character" w:customStyle="1" w:styleId="63">
    <w:name w:val="文档结构图 Char"/>
    <w:link w:val="14"/>
    <w:qFormat/>
    <w:uiPriority w:val="0"/>
    <w:rPr>
      <w:rFonts w:ascii="宋体" w:hAnsi="Calibri"/>
      <w:kern w:val="2"/>
      <w:sz w:val="18"/>
      <w:szCs w:val="18"/>
    </w:rPr>
  </w:style>
  <w:style w:type="character" w:customStyle="1" w:styleId="64">
    <w:name w:val="标题 2 Char"/>
    <w:link w:val="3"/>
    <w:qFormat/>
    <w:uiPriority w:val="9"/>
    <w:rPr>
      <w:rFonts w:ascii="Cambria" w:hAnsi="Cambria"/>
      <w:b/>
      <w:bCs/>
      <w:sz w:val="32"/>
      <w:szCs w:val="32"/>
    </w:rPr>
  </w:style>
  <w:style w:type="character" w:customStyle="1" w:styleId="65">
    <w:name w:val="font01"/>
    <w:qFormat/>
    <w:uiPriority w:val="0"/>
    <w:rPr>
      <w:rFonts w:hint="default" w:ascii="Times New Roman" w:hAnsi="Times New Roman" w:cs="Times New Roman"/>
      <w:color w:val="000000"/>
      <w:sz w:val="24"/>
      <w:szCs w:val="24"/>
      <w:u w:val="none"/>
      <w:vertAlign w:val="superscript"/>
    </w:rPr>
  </w:style>
  <w:style w:type="character" w:customStyle="1" w:styleId="66">
    <w:name w:val="font101"/>
    <w:qFormat/>
    <w:uiPriority w:val="0"/>
    <w:rPr>
      <w:rFonts w:hint="default" w:ascii="Times New Roman" w:hAnsi="Times New Roman" w:cs="Times New Roman"/>
      <w:color w:val="000000"/>
      <w:sz w:val="24"/>
      <w:szCs w:val="24"/>
      <w:u w:val="none"/>
    </w:rPr>
  </w:style>
  <w:style w:type="character" w:customStyle="1" w:styleId="67">
    <w:name w:val="font21"/>
    <w:qFormat/>
    <w:uiPriority w:val="0"/>
    <w:rPr>
      <w:rFonts w:hint="eastAsia" w:ascii="宋体" w:hAnsi="宋体" w:eastAsia="宋体" w:cs="宋体"/>
      <w:color w:val="000000"/>
      <w:sz w:val="24"/>
      <w:szCs w:val="24"/>
      <w:u w:val="none"/>
    </w:rPr>
  </w:style>
  <w:style w:type="character" w:customStyle="1" w:styleId="68">
    <w:name w:val="font51"/>
    <w:qFormat/>
    <w:uiPriority w:val="0"/>
    <w:rPr>
      <w:rFonts w:hint="default" w:ascii="Times New Roman" w:hAnsi="Times New Roman" w:cs="Times New Roman"/>
      <w:color w:val="000000"/>
      <w:sz w:val="24"/>
      <w:szCs w:val="24"/>
      <w:u w:val="none"/>
      <w:vertAlign w:val="subscript"/>
    </w:rPr>
  </w:style>
  <w:style w:type="character" w:customStyle="1" w:styleId="69">
    <w:name w:val="font61"/>
    <w:qFormat/>
    <w:uiPriority w:val="0"/>
    <w:rPr>
      <w:rFonts w:hint="default" w:ascii="Times New Roman" w:hAnsi="Times New Roman" w:cs="Times New Roman"/>
      <w:color w:val="000000"/>
      <w:sz w:val="24"/>
      <w:szCs w:val="24"/>
      <w:u w:val="none"/>
    </w:rPr>
  </w:style>
  <w:style w:type="character" w:customStyle="1" w:styleId="70">
    <w:name w:val="日期 Char"/>
    <w:link w:val="23"/>
    <w:qFormat/>
    <w:uiPriority w:val="99"/>
    <w:rPr>
      <w:rFonts w:ascii="Calibri" w:hAnsi="Calibri"/>
      <w:kern w:val="2"/>
      <w:sz w:val="21"/>
      <w:szCs w:val="22"/>
    </w:rPr>
  </w:style>
  <w:style w:type="paragraph" w:customStyle="1" w:styleId="71">
    <w:name w:val="WPSOffice手动目录 1"/>
    <w:qFormat/>
    <w:uiPriority w:val="0"/>
    <w:rPr>
      <w:rFonts w:ascii="Times New Roman" w:hAnsi="Times New Roman" w:eastAsia="宋体" w:cs="Times New Roman"/>
      <w:lang w:val="en-US" w:eastAsia="zh-CN" w:bidi="ar-SA"/>
    </w:rPr>
  </w:style>
  <w:style w:type="paragraph" w:customStyle="1" w:styleId="7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74">
    <w:name w:val="样式1"/>
    <w:basedOn w:val="1"/>
    <w:next w:val="19"/>
    <w:qFormat/>
    <w:uiPriority w:val="0"/>
  </w:style>
  <w:style w:type="paragraph" w:customStyle="1" w:styleId="75">
    <w:name w:val="表中文字1"/>
    <w:unhideWhenUsed/>
    <w:qFormat/>
    <w:uiPriority w:val="0"/>
    <w:pPr>
      <w:widowControl w:val="0"/>
      <w:jc w:val="center"/>
    </w:pPr>
    <w:rPr>
      <w:rFonts w:hint="eastAsia" w:ascii="仿宋_GB2312" w:hAnsi="Times New Roman" w:eastAsia="仿宋_GB2312" w:cs="Times New Roman"/>
      <w:kern w:val="2"/>
      <w:sz w:val="24"/>
      <w:lang w:val="en-US" w:eastAsia="zh-CN" w:bidi="ar-SA"/>
    </w:rPr>
  </w:style>
  <w:style w:type="paragraph" w:styleId="76">
    <w:name w:val="List Paragraph"/>
    <w:basedOn w:val="1"/>
    <w:unhideWhenUsed/>
    <w:qFormat/>
    <w:uiPriority w:val="34"/>
    <w:pPr>
      <w:ind w:firstLine="420" w:firstLineChars="200"/>
    </w:pPr>
  </w:style>
  <w:style w:type="paragraph" w:customStyle="1" w:styleId="77">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bCs/>
      <w:color w:val="376092" w:themeColor="accent1" w:themeShade="BF"/>
      <w:kern w:val="0"/>
      <w:sz w:val="28"/>
      <w:szCs w:val="28"/>
    </w:rPr>
  </w:style>
  <w:style w:type="paragraph" w:customStyle="1" w:styleId="78">
    <w:name w:val="Table Paragraph"/>
    <w:basedOn w:val="1"/>
    <w:unhideWhenUsed/>
    <w:qFormat/>
    <w:uiPriority w:val="1"/>
    <w:pPr>
      <w:jc w:val="center"/>
    </w:pPr>
    <w:rPr>
      <w:rFonts w:hint="eastAsia"/>
      <w:sz w:val="22"/>
    </w:rPr>
  </w:style>
  <w:style w:type="paragraph" w:customStyle="1" w:styleId="79">
    <w:name w:val="文本框"/>
    <w:basedOn w:val="1"/>
    <w:next w:val="1"/>
    <w:qFormat/>
    <w:uiPriority w:val="0"/>
    <w:pPr>
      <w:adjustRightInd w:val="0"/>
      <w:snapToGrid w:val="0"/>
      <w:spacing w:line="300" w:lineRule="exact"/>
      <w:jc w:val="center"/>
    </w:pPr>
    <w:rPr>
      <w:sz w:val="24"/>
    </w:rPr>
  </w:style>
  <w:style w:type="table" w:customStyle="1" w:styleId="80">
    <w:name w:val="Table Normal"/>
    <w:semiHidden/>
    <w:unhideWhenUsed/>
    <w:qFormat/>
    <w:uiPriority w:val="2"/>
    <w:pPr>
      <w:widowControl w:val="0"/>
      <w:autoSpaceDE w:val="0"/>
      <w:autoSpaceDN w:val="0"/>
    </w:pPr>
    <w:rPr>
      <w:rFonts w:ascii="Calibri" w:hAnsi="Calibri" w:eastAsia="宋体" w:cs="Times New Roman"/>
      <w:sz w:val="22"/>
      <w:szCs w:val="22"/>
      <w:lang w:eastAsia="en-US"/>
    </w:rPr>
    <w:tblPr>
      <w:tblCellMar>
        <w:top w:w="0" w:type="dxa"/>
        <w:left w:w="0" w:type="dxa"/>
        <w:bottom w:w="0" w:type="dxa"/>
        <w:right w:w="0" w:type="dxa"/>
      </w:tblCellMar>
    </w:tblPr>
  </w:style>
  <w:style w:type="paragraph" w:customStyle="1" w:styleId="81">
    <w:name w:val="正文大"/>
    <w:basedOn w:val="1"/>
    <w:qFormat/>
    <w:uiPriority w:val="0"/>
    <w:pPr>
      <w:adjustRightInd w:val="0"/>
      <w:spacing w:line="480" w:lineRule="exact"/>
      <w:ind w:firstLine="601"/>
      <w:textAlignment w:val="baseline"/>
    </w:pPr>
    <w:rPr>
      <w:rFonts w:ascii="Times New Roman" w:hAnsi="Times New Roman" w:eastAsia="楷体_GB2312"/>
      <w:spacing w:val="8"/>
      <w:kern w:val="0"/>
      <w:sz w:val="28"/>
      <w:szCs w:val="20"/>
    </w:rPr>
  </w:style>
  <w:style w:type="paragraph" w:customStyle="1" w:styleId="82">
    <w:name w:val="报告表格"/>
    <w:qFormat/>
    <w:uiPriority w:val="0"/>
    <w:pPr>
      <w:autoSpaceDE w:val="0"/>
      <w:autoSpaceDN w:val="0"/>
      <w:spacing w:before="40" w:after="40"/>
      <w:jc w:val="center"/>
    </w:pPr>
    <w:rPr>
      <w:rFonts w:ascii="Times New Roman" w:hAnsi="Times New Roman" w:eastAsia="宋体" w:cs="Times New Roman"/>
      <w:sz w:val="21"/>
      <w:lang w:val="en-US" w:eastAsia="zh-CN" w:bidi="ar-SA"/>
    </w:rPr>
  </w:style>
  <w:style w:type="character" w:customStyle="1" w:styleId="83">
    <w:name w:val="标题 4 Char"/>
    <w:basedOn w:val="41"/>
    <w:link w:val="5"/>
    <w:qFormat/>
    <w:uiPriority w:val="0"/>
    <w:rPr>
      <w:rFonts w:asciiTheme="majorHAnsi" w:hAnsiTheme="majorHAnsi" w:eastAsiaTheme="majorEastAsia" w:cstheme="majorBidi"/>
      <w:b/>
      <w:bCs/>
      <w:kern w:val="2"/>
      <w:sz w:val="28"/>
      <w:szCs w:val="28"/>
    </w:rPr>
  </w:style>
  <w:style w:type="character" w:customStyle="1" w:styleId="84">
    <w:name w:val="标题 5 Char"/>
    <w:basedOn w:val="41"/>
    <w:link w:val="6"/>
    <w:qFormat/>
    <w:uiPriority w:val="0"/>
    <w:rPr>
      <w:rFonts w:ascii="Times New Roman" w:hAnsi="Times New Roman" w:eastAsia="仿宋_GB2312"/>
      <w:b/>
      <w:bCs/>
      <w:kern w:val="2"/>
      <w:sz w:val="28"/>
      <w:szCs w:val="28"/>
    </w:rPr>
  </w:style>
  <w:style w:type="character" w:customStyle="1" w:styleId="85">
    <w:name w:val="标题 6 Char"/>
    <w:basedOn w:val="41"/>
    <w:link w:val="7"/>
    <w:qFormat/>
    <w:uiPriority w:val="0"/>
    <w:rPr>
      <w:rFonts w:ascii="Calibri Light" w:hAnsi="Calibri Light" w:eastAsia="仿宋_GB2312"/>
      <w:i/>
      <w:iCs/>
      <w:color w:val="252525"/>
    </w:rPr>
  </w:style>
  <w:style w:type="character" w:customStyle="1" w:styleId="86">
    <w:name w:val="标题 7 Char"/>
    <w:basedOn w:val="41"/>
    <w:link w:val="8"/>
    <w:qFormat/>
    <w:uiPriority w:val="0"/>
    <w:rPr>
      <w:rFonts w:ascii="Calibri Light" w:hAnsi="Calibri Light" w:eastAsia="仿宋_GB2312"/>
      <w:i/>
      <w:iCs/>
      <w:color w:val="404040"/>
    </w:rPr>
  </w:style>
  <w:style w:type="character" w:customStyle="1" w:styleId="87">
    <w:name w:val="标题 8 Char"/>
    <w:basedOn w:val="41"/>
    <w:link w:val="9"/>
    <w:qFormat/>
    <w:uiPriority w:val="0"/>
    <w:rPr>
      <w:rFonts w:ascii="Calibri Light" w:hAnsi="Calibri Light" w:eastAsia="仿宋_GB2312"/>
      <w:color w:val="404040"/>
    </w:rPr>
  </w:style>
  <w:style w:type="character" w:customStyle="1" w:styleId="88">
    <w:name w:val="标题 9 Char"/>
    <w:basedOn w:val="41"/>
    <w:link w:val="10"/>
    <w:qFormat/>
    <w:uiPriority w:val="0"/>
    <w:rPr>
      <w:rFonts w:ascii="Calibri Light" w:hAnsi="Calibri Light" w:eastAsia="仿宋_GB2312"/>
      <w:i/>
      <w:iCs/>
      <w:color w:val="404040"/>
    </w:rPr>
  </w:style>
  <w:style w:type="character" w:customStyle="1" w:styleId="89">
    <w:name w:val="批注文字 Char"/>
    <w:basedOn w:val="41"/>
    <w:link w:val="15"/>
    <w:qFormat/>
    <w:uiPriority w:val="99"/>
    <w:rPr>
      <w:rFonts w:ascii="Times New Roman" w:hAnsi="Times New Roman" w:eastAsia="宋体" w:cs="宋体"/>
      <w:kern w:val="2"/>
      <w:sz w:val="24"/>
      <w:szCs w:val="24"/>
    </w:rPr>
  </w:style>
  <w:style w:type="character" w:customStyle="1" w:styleId="90">
    <w:name w:val="正文文本缩进 Char"/>
    <w:basedOn w:val="41"/>
    <w:link w:val="17"/>
    <w:qFormat/>
    <w:uiPriority w:val="0"/>
    <w:rPr>
      <w:rFonts w:ascii="Calibri" w:hAnsi="Calibri" w:eastAsia="宋体" w:cs="Times New Roman"/>
      <w:kern w:val="2"/>
      <w:sz w:val="21"/>
      <w:szCs w:val="22"/>
    </w:rPr>
  </w:style>
  <w:style w:type="character" w:customStyle="1" w:styleId="91">
    <w:name w:val="副标题 Char"/>
    <w:basedOn w:val="41"/>
    <w:link w:val="29"/>
    <w:qFormat/>
    <w:uiPriority w:val="11"/>
    <w:rPr>
      <w:rFonts w:eastAsia="宋体" w:asciiTheme="majorHAnsi" w:hAnsiTheme="majorHAnsi" w:cstheme="majorBidi"/>
      <w:b/>
      <w:bCs/>
      <w:kern w:val="28"/>
      <w:sz w:val="32"/>
      <w:szCs w:val="32"/>
    </w:rPr>
  </w:style>
  <w:style w:type="character" w:customStyle="1" w:styleId="92">
    <w:name w:val="HTML 预设格式 Char"/>
    <w:basedOn w:val="41"/>
    <w:link w:val="33"/>
    <w:qFormat/>
    <w:uiPriority w:val="0"/>
    <w:rPr>
      <w:rFonts w:ascii="Courier New" w:hAnsi="Courier New" w:cs="Courier New"/>
      <w:kern w:val="2"/>
      <w:sz w:val="24"/>
    </w:rPr>
  </w:style>
  <w:style w:type="character" w:customStyle="1" w:styleId="93">
    <w:name w:val="标题 Char"/>
    <w:basedOn w:val="41"/>
    <w:link w:val="36"/>
    <w:qFormat/>
    <w:uiPriority w:val="0"/>
    <w:rPr>
      <w:rFonts w:eastAsia="宋体" w:asciiTheme="majorHAnsi" w:hAnsiTheme="majorHAnsi" w:cstheme="majorBidi"/>
      <w:b/>
      <w:bCs/>
      <w:kern w:val="2"/>
      <w:sz w:val="32"/>
      <w:szCs w:val="32"/>
    </w:rPr>
  </w:style>
  <w:style w:type="character" w:customStyle="1" w:styleId="94">
    <w:name w:val="批注主题 Char"/>
    <w:basedOn w:val="89"/>
    <w:link w:val="37"/>
    <w:qFormat/>
    <w:uiPriority w:val="99"/>
    <w:rPr>
      <w:rFonts w:ascii="Times New Roman" w:hAnsi="Times New Roman" w:eastAsia="宋体" w:cs="宋体"/>
      <w:b/>
      <w:bCs/>
      <w:kern w:val="2"/>
      <w:sz w:val="24"/>
      <w:szCs w:val="24"/>
    </w:rPr>
  </w:style>
  <w:style w:type="paragraph" w:styleId="95">
    <w:name w:val="No Spacing"/>
    <w:qFormat/>
    <w:uiPriority w:val="1"/>
    <w:pPr>
      <w:widowControl w:val="0"/>
      <w:jc w:val="both"/>
    </w:pPr>
    <w:rPr>
      <w:rFonts w:ascii="Times New Roman" w:hAnsi="Times New Roman" w:eastAsia="宋体" w:cs="宋体"/>
      <w:kern w:val="2"/>
      <w:sz w:val="24"/>
      <w:szCs w:val="24"/>
      <w:lang w:val="en-US" w:eastAsia="zh-CN" w:bidi="ar-SA"/>
    </w:rPr>
  </w:style>
  <w:style w:type="character" w:customStyle="1" w:styleId="96">
    <w:name w:val="标题 3 Char"/>
    <w:basedOn w:val="41"/>
    <w:link w:val="4"/>
    <w:qFormat/>
    <w:uiPriority w:val="9"/>
    <w:rPr>
      <w:rFonts w:ascii="Calibri" w:hAnsi="Calibri" w:eastAsia="宋体" w:cs="Times New Roman"/>
      <w:b/>
      <w:kern w:val="2"/>
      <w:sz w:val="32"/>
      <w:szCs w:val="22"/>
    </w:rPr>
  </w:style>
  <w:style w:type="table" w:customStyle="1" w:styleId="97">
    <w:name w:val="浅色底纹112"/>
    <w:basedOn w:val="38"/>
    <w:qFormat/>
    <w:uiPriority w:val="60"/>
    <w:rPr>
      <w:rFonts w:ascii="Calibri" w:hAnsi="Calibri" w:eastAsia="宋体" w:cs="Times New Roman"/>
      <w:color w:val="000000"/>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98">
    <w:name w:val="lily 表格1"/>
    <w:basedOn w:val="38"/>
    <w:qFormat/>
    <w:uiPriority w:val="1"/>
    <w:rPr>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lily 表格11"/>
    <w:basedOn w:val="38"/>
    <w:qFormat/>
    <w:uiPriority w:val="1"/>
    <w:rPr>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lily 表格12"/>
    <w:basedOn w:val="38"/>
    <w:qFormat/>
    <w:uiPriority w:val="1"/>
    <w:rPr>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1">
    <w:name w:val="修订1"/>
    <w:hidden/>
    <w:qFormat/>
    <w:uiPriority w:val="99"/>
    <w:rPr>
      <w:rFonts w:ascii="Times New Roman" w:hAnsi="Times New Roman" w:eastAsia="宋体" w:cs="宋体"/>
      <w:kern w:val="2"/>
      <w:sz w:val="24"/>
      <w:szCs w:val="24"/>
      <w:lang w:val="en-US" w:eastAsia="zh-CN" w:bidi="ar-SA"/>
    </w:rPr>
  </w:style>
  <w:style w:type="paragraph" w:customStyle="1" w:styleId="102">
    <w:name w:val="标题2"/>
    <w:basedOn w:val="3"/>
    <w:link w:val="103"/>
    <w:qFormat/>
    <w:uiPriority w:val="1"/>
    <w:pPr>
      <w:spacing w:before="120" w:beforeLines="50" w:after="120" w:afterLines="50" w:line="360" w:lineRule="auto"/>
      <w:jc w:val="left"/>
    </w:pPr>
    <w:rPr>
      <w:rFonts w:ascii="Times New Roman" w:hAnsi="Times New Roman"/>
      <w:b w:val="0"/>
      <w:kern w:val="2"/>
      <w:sz w:val="30"/>
    </w:rPr>
  </w:style>
  <w:style w:type="character" w:customStyle="1" w:styleId="103">
    <w:name w:val="标题2 Char"/>
    <w:link w:val="102"/>
    <w:qFormat/>
    <w:uiPriority w:val="1"/>
    <w:rPr>
      <w:rFonts w:ascii="Times New Roman" w:hAnsi="Times New Roman" w:eastAsia="宋体" w:cs="Times New Roman"/>
      <w:bCs/>
      <w:kern w:val="2"/>
      <w:sz w:val="30"/>
      <w:szCs w:val="32"/>
    </w:rPr>
  </w:style>
  <w:style w:type="character" w:customStyle="1" w:styleId="104">
    <w:name w:val="文档结构图 Char1"/>
    <w:basedOn w:val="41"/>
    <w:semiHidden/>
    <w:qFormat/>
    <w:uiPriority w:val="99"/>
    <w:rPr>
      <w:rFonts w:ascii="Microsoft YaHei UI" w:eastAsia="Microsoft YaHei UI"/>
      <w:color w:val="auto"/>
      <w:sz w:val="18"/>
      <w:szCs w:val="18"/>
    </w:rPr>
  </w:style>
  <w:style w:type="character" w:customStyle="1" w:styleId="105">
    <w:name w:val="font11"/>
    <w:qFormat/>
    <w:uiPriority w:val="0"/>
    <w:rPr>
      <w:rFonts w:ascii="Arial" w:hAnsi="Arial" w:cs="Arial"/>
      <w:b/>
      <w:color w:val="000000"/>
      <w:sz w:val="20"/>
      <w:szCs w:val="20"/>
      <w:u w:val="none"/>
      <w:vertAlign w:val="superscript"/>
    </w:rPr>
  </w:style>
  <w:style w:type="character" w:customStyle="1" w:styleId="106">
    <w:name w:val="font41"/>
    <w:qFormat/>
    <w:uiPriority w:val="0"/>
    <w:rPr>
      <w:rFonts w:ascii="Arial" w:hAnsi="Arial" w:cs="Arial"/>
      <w:color w:val="000000"/>
      <w:sz w:val="20"/>
      <w:szCs w:val="20"/>
      <w:u w:val="none"/>
    </w:rPr>
  </w:style>
  <w:style w:type="character" w:customStyle="1" w:styleId="107">
    <w:name w:val="fontborder"/>
    <w:qFormat/>
    <w:uiPriority w:val="0"/>
    <w:rPr>
      <w:bdr w:val="single" w:color="000000" w:sz="6" w:space="0"/>
    </w:rPr>
  </w:style>
  <w:style w:type="character" w:customStyle="1" w:styleId="108">
    <w:name w:val="fontstrikethrough"/>
    <w:qFormat/>
    <w:uiPriority w:val="0"/>
    <w:rPr>
      <w:strike/>
    </w:rPr>
  </w:style>
  <w:style w:type="character" w:customStyle="1" w:styleId="109">
    <w:name w:val="result"/>
    <w:basedOn w:val="41"/>
    <w:qFormat/>
    <w:uiPriority w:val="0"/>
  </w:style>
  <w:style w:type="character" w:customStyle="1" w:styleId="110">
    <w:name w:val="no"/>
    <w:basedOn w:val="41"/>
    <w:qFormat/>
    <w:uiPriority w:val="0"/>
  </w:style>
  <w:style w:type="character" w:customStyle="1" w:styleId="111">
    <w:name w:val="normal1"/>
    <w:qFormat/>
    <w:uiPriority w:val="0"/>
    <w:rPr>
      <w:b/>
      <w:sz w:val="19"/>
      <w:szCs w:val="19"/>
    </w:rPr>
  </w:style>
  <w:style w:type="character" w:customStyle="1" w:styleId="112">
    <w:name w:val="明显参考1"/>
    <w:qFormat/>
    <w:uiPriority w:val="32"/>
    <w:rPr>
      <w:b/>
      <w:bCs/>
      <w:smallCaps/>
      <w:color w:val="5B9BD5"/>
      <w:spacing w:val="5"/>
    </w:rPr>
  </w:style>
  <w:style w:type="character" w:customStyle="1" w:styleId="113">
    <w:name w:val="font31"/>
    <w:qFormat/>
    <w:uiPriority w:val="0"/>
    <w:rPr>
      <w:rFonts w:ascii="Arial" w:hAnsi="Arial" w:cs="Arial"/>
      <w:color w:val="000000"/>
      <w:sz w:val="20"/>
      <w:szCs w:val="20"/>
      <w:u w:val="none"/>
    </w:rPr>
  </w:style>
  <w:style w:type="character" w:customStyle="1" w:styleId="114">
    <w:name w:val="name"/>
    <w:basedOn w:val="41"/>
    <w:qFormat/>
    <w:uiPriority w:val="0"/>
  </w:style>
  <w:style w:type="paragraph" w:customStyle="1" w:styleId="115">
    <w:name w:val="列出段落2"/>
    <w:basedOn w:val="1"/>
    <w:qFormat/>
    <w:uiPriority w:val="34"/>
    <w:pPr>
      <w:spacing w:line="360" w:lineRule="auto"/>
      <w:ind w:firstLine="420" w:firstLineChars="200"/>
    </w:pPr>
    <w:rPr>
      <w:rFonts w:ascii="Times New Roman" w:hAnsi="Times New Roman" w:eastAsia="仿宋_GB2312" w:cstheme="minorBidi"/>
      <w:sz w:val="24"/>
      <w:szCs w:val="20"/>
    </w:rPr>
  </w:style>
  <w:style w:type="paragraph" w:customStyle="1" w:styleId="116">
    <w:name w:val="列出段落21"/>
    <w:basedOn w:val="1"/>
    <w:qFormat/>
    <w:uiPriority w:val="34"/>
    <w:pPr>
      <w:spacing w:line="360" w:lineRule="auto"/>
      <w:ind w:firstLine="420" w:firstLineChars="200"/>
    </w:pPr>
    <w:rPr>
      <w:rFonts w:ascii="Times New Roman" w:hAnsi="Times New Roman" w:eastAsia="仿宋_GB2312" w:cstheme="minorBidi"/>
      <w:sz w:val="24"/>
      <w:szCs w:val="20"/>
    </w:rPr>
  </w:style>
  <w:style w:type="paragraph" w:customStyle="1" w:styleId="117">
    <w:name w:val="列出段落3"/>
    <w:basedOn w:val="1"/>
    <w:qFormat/>
    <w:uiPriority w:val="34"/>
    <w:pPr>
      <w:spacing w:line="360" w:lineRule="auto"/>
      <w:ind w:firstLine="420" w:firstLineChars="200"/>
    </w:pPr>
    <w:rPr>
      <w:rFonts w:ascii="Times New Roman" w:hAnsi="Times New Roman" w:eastAsia="仿宋_GB2312" w:cstheme="minorBidi"/>
      <w:sz w:val="24"/>
    </w:rPr>
  </w:style>
  <w:style w:type="paragraph" w:customStyle="1" w:styleId="118">
    <w:name w:val="无间隔1"/>
    <w:qFormat/>
    <w:uiPriority w:val="1"/>
    <w:pPr>
      <w:widowControl w:val="0"/>
      <w:spacing w:line="360" w:lineRule="auto"/>
      <w:ind w:firstLine="200" w:firstLineChars="200"/>
      <w:jc w:val="both"/>
    </w:pPr>
    <w:rPr>
      <w:rFonts w:ascii="Times New Roman" w:hAnsi="Times New Roman" w:eastAsia="宋体" w:cs="Times New Roman"/>
      <w:b/>
      <w:kern w:val="2"/>
      <w:sz w:val="24"/>
      <w:szCs w:val="21"/>
      <w:lang w:val="en-US" w:eastAsia="zh-CN" w:bidi="ar-SA"/>
    </w:rPr>
  </w:style>
  <w:style w:type="paragraph" w:customStyle="1" w:styleId="119">
    <w:name w:val="Char Char Char Char Char Char Char Char Char Char Char Char"/>
    <w:basedOn w:val="1"/>
    <w:qFormat/>
    <w:uiPriority w:val="0"/>
    <w:pPr>
      <w:widowControl/>
      <w:spacing w:after="160" w:line="240" w:lineRule="exact"/>
      <w:ind w:firstLine="200" w:firstLineChars="200"/>
      <w:jc w:val="left"/>
    </w:pPr>
    <w:rPr>
      <w:rFonts w:ascii="Verdana" w:hAnsi="Verdana" w:eastAsia="仿宋_GB2312" w:cstheme="minorBidi"/>
      <w:kern w:val="0"/>
      <w:sz w:val="24"/>
      <w:szCs w:val="20"/>
      <w:lang w:eastAsia="en-US"/>
    </w:rPr>
  </w:style>
  <w:style w:type="paragraph" w:customStyle="1" w:styleId="120">
    <w:name w:val="Char Char Char Char Char"/>
    <w:basedOn w:val="1"/>
    <w:qFormat/>
    <w:uiPriority w:val="0"/>
    <w:pPr>
      <w:widowControl/>
      <w:spacing w:after="160" w:line="240" w:lineRule="exact"/>
      <w:ind w:firstLine="200" w:firstLineChars="200"/>
      <w:jc w:val="left"/>
    </w:pPr>
    <w:rPr>
      <w:rFonts w:ascii="Verdana" w:hAnsi="Verdana" w:eastAsia="仿宋_GB2312" w:cstheme="minorBidi"/>
      <w:kern w:val="0"/>
      <w:sz w:val="24"/>
      <w:szCs w:val="20"/>
      <w:lang w:eastAsia="en-US"/>
    </w:rPr>
  </w:style>
  <w:style w:type="paragraph" w:customStyle="1" w:styleId="121">
    <w:name w:val="Char1"/>
    <w:basedOn w:val="2"/>
    <w:qFormat/>
    <w:uiPriority w:val="0"/>
    <w:pPr>
      <w:keepNext w:val="0"/>
      <w:keepLines w:val="0"/>
      <w:tabs>
        <w:tab w:val="left" w:pos="360"/>
      </w:tabs>
      <w:spacing w:before="0" w:beforeLines="150" w:after="0" w:afterLines="50" w:line="360" w:lineRule="auto"/>
      <w:ind w:left="360" w:hanging="360"/>
      <w:jc w:val="center"/>
    </w:pPr>
    <w:rPr>
      <w:rFonts w:ascii="黑体" w:eastAsia="黑体" w:cstheme="minorBidi"/>
      <w:sz w:val="32"/>
      <w:szCs w:val="32"/>
    </w:rPr>
  </w:style>
  <w:style w:type="paragraph" w:customStyle="1" w:styleId="12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3">
    <w:name w:val="Char Char Char Char Char Char"/>
    <w:basedOn w:val="1"/>
    <w:qFormat/>
    <w:uiPriority w:val="0"/>
    <w:pPr>
      <w:widowControl/>
      <w:spacing w:after="160" w:line="240" w:lineRule="exact"/>
      <w:ind w:firstLine="200" w:firstLineChars="200"/>
      <w:jc w:val="left"/>
    </w:pPr>
    <w:rPr>
      <w:rFonts w:ascii="Verdana" w:hAnsi="Verdana" w:eastAsia="仿宋_GB2312" w:cstheme="minorBidi"/>
      <w:kern w:val="0"/>
      <w:sz w:val="24"/>
      <w:szCs w:val="20"/>
      <w:lang w:eastAsia="en-US"/>
    </w:rPr>
  </w:style>
  <w:style w:type="paragraph" w:customStyle="1" w:styleId="124">
    <w:name w:val="样式 样式 正文缩进 + 段前: 0.5 行 段后: 0.5 行 + 首行缩进:  2 字符 段前: 6 磅"/>
    <w:basedOn w:val="1"/>
    <w:qFormat/>
    <w:uiPriority w:val="0"/>
    <w:pPr>
      <w:widowControl/>
      <w:tabs>
        <w:tab w:val="left" w:pos="0"/>
      </w:tabs>
      <w:spacing w:beforeLines="50" w:line="360" w:lineRule="auto"/>
      <w:ind w:firstLine="200" w:firstLineChars="200"/>
      <w:jc w:val="left"/>
    </w:pPr>
    <w:rPr>
      <w:rFonts w:ascii="Times New Roman" w:hAnsi="Times New Roman" w:eastAsia="仿宋_GB2312" w:cs="宋体"/>
      <w:kern w:val="0"/>
      <w:sz w:val="24"/>
      <w:szCs w:val="20"/>
    </w:rPr>
  </w:style>
  <w:style w:type="paragraph" w:customStyle="1" w:styleId="125">
    <w:name w:val="Char Char"/>
    <w:basedOn w:val="1"/>
    <w:qFormat/>
    <w:uiPriority w:val="0"/>
    <w:pPr>
      <w:widowControl/>
      <w:spacing w:after="160" w:line="240" w:lineRule="exact"/>
      <w:ind w:firstLine="200" w:firstLineChars="200"/>
      <w:jc w:val="left"/>
    </w:pPr>
    <w:rPr>
      <w:rFonts w:ascii="Verdana" w:hAnsi="Verdana" w:eastAsia="仿宋_GB2312" w:cstheme="minorBidi"/>
      <w:kern w:val="0"/>
      <w:sz w:val="24"/>
      <w:szCs w:val="20"/>
      <w:lang w:eastAsia="en-US"/>
    </w:rPr>
  </w:style>
  <w:style w:type="character" w:customStyle="1" w:styleId="126">
    <w:name w:val="jrm402"/>
    <w:qFormat/>
    <w:uiPriority w:val="0"/>
    <w:rPr>
      <w:color w:val="333333"/>
      <w:sz w:val="20"/>
      <w:szCs w:val="20"/>
    </w:rPr>
  </w:style>
  <w:style w:type="paragraph" w:customStyle="1" w:styleId="127">
    <w:name w:val="Char Char Char Char Char Char Char Char Char Char Char Char Char Char"/>
    <w:basedOn w:val="1"/>
    <w:qFormat/>
    <w:uiPriority w:val="0"/>
    <w:pPr>
      <w:widowControl/>
      <w:spacing w:after="160" w:line="240" w:lineRule="exact"/>
      <w:ind w:firstLine="200" w:firstLineChars="200"/>
      <w:jc w:val="left"/>
    </w:pPr>
    <w:rPr>
      <w:rFonts w:ascii="Verdana" w:hAnsi="Verdana" w:eastAsia="仿宋_GB2312" w:cstheme="minorBidi"/>
      <w:kern w:val="0"/>
      <w:sz w:val="24"/>
      <w:szCs w:val="20"/>
      <w:lang w:eastAsia="en-US"/>
    </w:rPr>
  </w:style>
  <w:style w:type="paragraph" w:customStyle="1" w:styleId="128">
    <w:name w:val="Char Char Char Char Char Char Char Char Char Char Char Char Char Char1"/>
    <w:basedOn w:val="1"/>
    <w:qFormat/>
    <w:uiPriority w:val="0"/>
    <w:pPr>
      <w:widowControl/>
      <w:spacing w:after="160" w:line="240" w:lineRule="exact"/>
      <w:ind w:firstLine="200" w:firstLineChars="200"/>
      <w:jc w:val="left"/>
    </w:pPr>
    <w:rPr>
      <w:rFonts w:ascii="Verdana" w:hAnsi="Verdana" w:eastAsia="仿宋_GB2312" w:cstheme="minorBidi"/>
      <w:kern w:val="0"/>
      <w:sz w:val="24"/>
      <w:szCs w:val="20"/>
      <w:lang w:eastAsia="en-US"/>
    </w:rPr>
  </w:style>
  <w:style w:type="paragraph" w:customStyle="1" w:styleId="129">
    <w:name w:val="Char Char Char Char Char Char Char Char Char Char Char Char Char"/>
    <w:basedOn w:val="1"/>
    <w:qFormat/>
    <w:uiPriority w:val="0"/>
    <w:pPr>
      <w:widowControl/>
      <w:spacing w:after="160" w:line="240" w:lineRule="exact"/>
      <w:ind w:firstLine="200" w:firstLineChars="200"/>
      <w:jc w:val="left"/>
    </w:pPr>
    <w:rPr>
      <w:rFonts w:ascii="Verdana" w:hAnsi="Verdana" w:eastAsia="仿宋_GB2312" w:cstheme="minorBidi"/>
      <w:kern w:val="0"/>
      <w:sz w:val="24"/>
      <w:szCs w:val="20"/>
      <w:lang w:eastAsia="en-US"/>
    </w:rPr>
  </w:style>
  <w:style w:type="paragraph" w:customStyle="1" w:styleId="130">
    <w:name w:val="Char Char Char Char1 Char Char Char"/>
    <w:basedOn w:val="1"/>
    <w:qFormat/>
    <w:uiPriority w:val="0"/>
    <w:pPr>
      <w:widowControl/>
      <w:spacing w:after="160" w:line="240" w:lineRule="exact"/>
      <w:ind w:firstLine="200" w:firstLineChars="200"/>
      <w:jc w:val="left"/>
    </w:pPr>
    <w:rPr>
      <w:rFonts w:ascii="Verdana" w:hAnsi="Verdana" w:eastAsia="仿宋_GB2312" w:cstheme="minorBidi"/>
      <w:kern w:val="0"/>
      <w:sz w:val="24"/>
      <w:szCs w:val="20"/>
      <w:lang w:eastAsia="en-US"/>
    </w:rPr>
  </w:style>
  <w:style w:type="paragraph" w:customStyle="1" w:styleId="131">
    <w:name w:val="Char1 Char Char Char"/>
    <w:basedOn w:val="1"/>
    <w:qFormat/>
    <w:uiPriority w:val="0"/>
    <w:pPr>
      <w:widowControl/>
      <w:spacing w:after="160" w:line="240" w:lineRule="exact"/>
      <w:ind w:firstLine="200" w:firstLineChars="200"/>
      <w:jc w:val="left"/>
    </w:pPr>
    <w:rPr>
      <w:rFonts w:ascii="Arial" w:hAnsi="Arial" w:eastAsia="Times New Roman" w:cs="Verdana"/>
      <w:b/>
      <w:kern w:val="0"/>
      <w:sz w:val="24"/>
      <w:szCs w:val="21"/>
      <w:lang w:eastAsia="en-US"/>
    </w:rPr>
  </w:style>
  <w:style w:type="paragraph" w:customStyle="1" w:styleId="132">
    <w:name w:val="一、"/>
    <w:basedOn w:val="1"/>
    <w:qFormat/>
    <w:uiPriority w:val="0"/>
    <w:pPr>
      <w:kinsoku w:val="0"/>
      <w:adjustRightInd w:val="0"/>
      <w:snapToGrid w:val="0"/>
      <w:spacing w:line="440" w:lineRule="atLeast"/>
      <w:ind w:left="1412" w:hanging="567" w:firstLineChars="200"/>
      <w:textAlignment w:val="baseline"/>
    </w:pPr>
    <w:rPr>
      <w:rFonts w:ascii="Times New Roman" w:hAnsi="Times New Roman" w:eastAsia="華康特粗楷體" w:cstheme="minorBidi"/>
      <w:b/>
      <w:bCs/>
      <w:color w:val="FF0000"/>
      <w:kern w:val="20"/>
      <w:sz w:val="26"/>
      <w:szCs w:val="26"/>
      <w:u w:val="single"/>
      <w:lang w:eastAsia="zh-TW"/>
    </w:rPr>
  </w:style>
  <w:style w:type="paragraph" w:customStyle="1" w:styleId="133">
    <w:name w:val="(一)"/>
    <w:basedOn w:val="1"/>
    <w:link w:val="134"/>
    <w:qFormat/>
    <w:uiPriority w:val="0"/>
    <w:pPr>
      <w:kinsoku w:val="0"/>
      <w:adjustRightInd w:val="0"/>
      <w:snapToGrid w:val="0"/>
      <w:spacing w:line="440" w:lineRule="atLeast"/>
      <w:ind w:left="1991" w:hanging="522" w:firstLineChars="200"/>
      <w:textAlignment w:val="baseline"/>
    </w:pPr>
    <w:rPr>
      <w:rFonts w:ascii="Times New Roman" w:hAnsi="Times New Roman" w:eastAsia="華康楷書體W5" w:cstheme="minorBidi"/>
      <w:kern w:val="20"/>
      <w:sz w:val="26"/>
      <w:szCs w:val="26"/>
      <w:lang w:eastAsia="zh-TW"/>
    </w:rPr>
  </w:style>
  <w:style w:type="character" w:customStyle="1" w:styleId="134">
    <w:name w:val="(一) 字元"/>
    <w:link w:val="133"/>
    <w:qFormat/>
    <w:locked/>
    <w:uiPriority w:val="0"/>
    <w:rPr>
      <w:rFonts w:ascii="Times New Roman" w:hAnsi="Times New Roman" w:eastAsia="華康楷書體W5"/>
      <w:kern w:val="20"/>
      <w:sz w:val="26"/>
      <w:szCs w:val="26"/>
      <w:lang w:eastAsia="zh-TW"/>
    </w:rPr>
  </w:style>
  <w:style w:type="paragraph" w:customStyle="1" w:styleId="135">
    <w:name w:val="1.1目錄"/>
    <w:basedOn w:val="1"/>
    <w:qFormat/>
    <w:uiPriority w:val="0"/>
    <w:pPr>
      <w:tabs>
        <w:tab w:val="right" w:pos="9000"/>
      </w:tabs>
      <w:kinsoku w:val="0"/>
      <w:adjustRightInd w:val="0"/>
      <w:snapToGrid w:val="0"/>
      <w:spacing w:line="440" w:lineRule="atLeast"/>
      <w:ind w:right="1508" w:firstLine="200" w:firstLineChars="200"/>
      <w:textAlignment w:val="baseline"/>
    </w:pPr>
    <w:rPr>
      <w:rFonts w:ascii="Times New Roman" w:hAnsi="Times New Roman" w:eastAsia="華康楷書體W5" w:cstheme="minorBidi"/>
      <w:kern w:val="20"/>
      <w:sz w:val="26"/>
      <w:szCs w:val="26"/>
      <w:lang w:eastAsia="zh-TW"/>
    </w:rPr>
  </w:style>
  <w:style w:type="character" w:customStyle="1" w:styleId="136">
    <w:name w:val="Intense Quote Char"/>
    <w:link w:val="137"/>
    <w:qFormat/>
    <w:locked/>
    <w:uiPriority w:val="0"/>
    <w:rPr>
      <w:color w:val="000000"/>
      <w:shd w:val="clear" w:color="auto" w:fill="F2F2F2"/>
    </w:rPr>
  </w:style>
  <w:style w:type="paragraph" w:customStyle="1" w:styleId="137">
    <w:name w:val="Intense Quote1"/>
    <w:basedOn w:val="1"/>
    <w:next w:val="1"/>
    <w:link w:val="136"/>
    <w:qFormat/>
    <w:uiPriority w:val="0"/>
    <w:pPr>
      <w:widowControl/>
      <w:pBdr>
        <w:top w:val="single" w:color="F2F2F2" w:sz="24" w:space="1"/>
        <w:bottom w:val="single" w:color="F2F2F2" w:sz="24" w:space="1"/>
      </w:pBdr>
      <w:shd w:val="clear" w:color="auto" w:fill="F2F2F2"/>
      <w:spacing w:before="240" w:after="240" w:line="259" w:lineRule="auto"/>
      <w:ind w:left="936" w:right="936" w:firstLine="200" w:firstLineChars="200"/>
      <w:jc w:val="center"/>
    </w:pPr>
    <w:rPr>
      <w:rFonts w:asciiTheme="minorHAnsi" w:hAnsiTheme="minorHAnsi" w:eastAsiaTheme="minorEastAsia" w:cstheme="minorBidi"/>
      <w:color w:val="000000"/>
      <w:kern w:val="0"/>
      <w:sz w:val="20"/>
      <w:szCs w:val="20"/>
    </w:rPr>
  </w:style>
  <w:style w:type="character" w:customStyle="1" w:styleId="138">
    <w:name w:val="f16"/>
    <w:qFormat/>
    <w:uiPriority w:val="0"/>
    <w:rPr>
      <w:rFonts w:cs="Times New Roman"/>
    </w:rPr>
  </w:style>
  <w:style w:type="character" w:customStyle="1" w:styleId="139">
    <w:name w:val="标题 Char1"/>
    <w:qFormat/>
    <w:uiPriority w:val="0"/>
    <w:rPr>
      <w:rFonts w:ascii="Calibri Light" w:hAnsi="Calibri Light" w:eastAsia="宋体" w:cs="Times New Roman"/>
      <w:b/>
      <w:bCs/>
      <w:sz w:val="32"/>
      <w:szCs w:val="32"/>
    </w:rPr>
  </w:style>
  <w:style w:type="character" w:customStyle="1" w:styleId="140">
    <w:name w:val="Intense Reference1"/>
    <w:qFormat/>
    <w:uiPriority w:val="0"/>
    <w:rPr>
      <w:rFonts w:cs="Times New Roman"/>
      <w:b/>
      <w:bCs/>
      <w:smallCaps/>
      <w:u w:val="single"/>
    </w:rPr>
  </w:style>
  <w:style w:type="character" w:customStyle="1" w:styleId="141">
    <w:name w:val="Intense Emphasis1"/>
    <w:qFormat/>
    <w:uiPriority w:val="0"/>
    <w:rPr>
      <w:rFonts w:cs="Times New Roman"/>
      <w:b/>
      <w:bCs/>
      <w:i/>
      <w:iCs/>
      <w:caps/>
    </w:rPr>
  </w:style>
  <w:style w:type="character" w:customStyle="1" w:styleId="142">
    <w:name w:val="Subtle Reference1"/>
    <w:qFormat/>
    <w:uiPriority w:val="0"/>
    <w:rPr>
      <w:rFonts w:cs="Times New Roman"/>
      <w:smallCaps/>
      <w:color w:val="404040"/>
      <w:u w:val="single" w:color="7F7F7F"/>
    </w:rPr>
  </w:style>
  <w:style w:type="character" w:customStyle="1" w:styleId="143">
    <w:name w:val="Book Title1"/>
    <w:qFormat/>
    <w:uiPriority w:val="0"/>
    <w:rPr>
      <w:rFonts w:cs="Times New Roman"/>
      <w:smallCaps/>
      <w:spacing w:val="5"/>
    </w:rPr>
  </w:style>
  <w:style w:type="character" w:customStyle="1" w:styleId="144">
    <w:name w:val="Subtle Emphasis1"/>
    <w:qFormat/>
    <w:uiPriority w:val="0"/>
    <w:rPr>
      <w:rFonts w:cs="Times New Roman"/>
      <w:i/>
      <w:iCs/>
      <w:color w:val="404040"/>
    </w:rPr>
  </w:style>
  <w:style w:type="character" w:customStyle="1" w:styleId="145">
    <w:name w:val="副标题 Char1"/>
    <w:qFormat/>
    <w:uiPriority w:val="0"/>
    <w:rPr>
      <w:rFonts w:ascii="Calibri Light" w:hAnsi="Calibri Light" w:eastAsia="宋体" w:cs="Times New Roman"/>
      <w:b/>
      <w:bCs/>
      <w:kern w:val="28"/>
      <w:sz w:val="32"/>
      <w:szCs w:val="32"/>
    </w:rPr>
  </w:style>
  <w:style w:type="character" w:customStyle="1" w:styleId="146">
    <w:name w:val="Quote Char"/>
    <w:link w:val="147"/>
    <w:qFormat/>
    <w:locked/>
    <w:uiPriority w:val="0"/>
    <w:rPr>
      <w:i/>
      <w:iCs/>
      <w:color w:val="000000"/>
    </w:rPr>
  </w:style>
  <w:style w:type="paragraph" w:customStyle="1" w:styleId="147">
    <w:name w:val="Quote1"/>
    <w:basedOn w:val="1"/>
    <w:next w:val="1"/>
    <w:link w:val="146"/>
    <w:qFormat/>
    <w:uiPriority w:val="0"/>
    <w:pPr>
      <w:widowControl/>
      <w:spacing w:before="160" w:after="160" w:line="259" w:lineRule="auto"/>
      <w:ind w:left="720" w:right="720" w:firstLine="200" w:firstLineChars="200"/>
      <w:jc w:val="left"/>
    </w:pPr>
    <w:rPr>
      <w:rFonts w:asciiTheme="minorHAnsi" w:hAnsiTheme="minorHAnsi" w:eastAsiaTheme="minorEastAsia" w:cstheme="minorBidi"/>
      <w:i/>
      <w:iCs/>
      <w:color w:val="000000"/>
      <w:kern w:val="0"/>
      <w:sz w:val="20"/>
      <w:szCs w:val="20"/>
    </w:rPr>
  </w:style>
  <w:style w:type="paragraph" w:customStyle="1" w:styleId="148">
    <w:name w:val="TOC Heading1"/>
    <w:basedOn w:val="2"/>
    <w:next w:val="1"/>
    <w:qFormat/>
    <w:uiPriority w:val="0"/>
    <w:pPr>
      <w:widowControl/>
      <w:spacing w:before="0" w:beforeLines="150" w:after="0" w:afterLines="100" w:line="259" w:lineRule="auto"/>
      <w:jc w:val="left"/>
      <w:outlineLvl w:val="9"/>
    </w:pPr>
    <w:rPr>
      <w:rFonts w:ascii="Calibri Light" w:hAnsi="Calibri Light" w:eastAsia="黑体" w:cstheme="minorBidi"/>
      <w:b w:val="0"/>
      <w:bCs/>
      <w:smallCaps/>
      <w:color w:val="000000"/>
      <w:kern w:val="0"/>
      <w:sz w:val="32"/>
      <w:szCs w:val="36"/>
      <w:lang w:eastAsia="ja-JP"/>
    </w:rPr>
  </w:style>
  <w:style w:type="paragraph" w:customStyle="1" w:styleId="149">
    <w:name w:val="List Paragraph1"/>
    <w:basedOn w:val="1"/>
    <w:qFormat/>
    <w:uiPriority w:val="0"/>
    <w:pPr>
      <w:widowControl/>
      <w:spacing w:after="160" w:line="259" w:lineRule="auto"/>
      <w:ind w:left="720" w:firstLine="200" w:firstLineChars="200"/>
      <w:jc w:val="left"/>
    </w:pPr>
    <w:rPr>
      <w:rFonts w:eastAsia="仿宋_GB2312" w:cs="Arial"/>
      <w:kern w:val="0"/>
      <w:sz w:val="22"/>
      <w:lang w:eastAsia="ja-JP"/>
    </w:rPr>
  </w:style>
  <w:style w:type="paragraph" w:customStyle="1" w:styleId="150">
    <w:name w:val="No Spacing1"/>
    <w:qFormat/>
    <w:uiPriority w:val="0"/>
    <w:rPr>
      <w:rFonts w:ascii="Calibri" w:hAnsi="Calibri" w:eastAsia="宋体" w:cs="Arial"/>
      <w:sz w:val="22"/>
      <w:szCs w:val="21"/>
      <w:lang w:val="en-US" w:eastAsia="ja-JP" w:bidi="ar-SA"/>
    </w:rPr>
  </w:style>
  <w:style w:type="character" w:customStyle="1" w:styleId="151">
    <w:name w:val="apple-converted-space"/>
    <w:qFormat/>
    <w:uiPriority w:val="0"/>
  </w:style>
  <w:style w:type="character" w:customStyle="1" w:styleId="152">
    <w:name w:val="con"/>
    <w:qFormat/>
    <w:uiPriority w:val="0"/>
  </w:style>
  <w:style w:type="paragraph" w:customStyle="1" w:styleId="153">
    <w:name w:val="标题1"/>
    <w:basedOn w:val="1"/>
    <w:qFormat/>
    <w:uiPriority w:val="1"/>
    <w:pPr>
      <w:widowControl/>
      <w:spacing w:before="100" w:beforeAutospacing="1" w:after="100" w:afterAutospacing="1" w:line="360" w:lineRule="auto"/>
      <w:ind w:firstLine="200" w:firstLineChars="200"/>
      <w:jc w:val="left"/>
    </w:pPr>
    <w:rPr>
      <w:rFonts w:ascii="Times New Roman" w:hAnsi="Times New Roman" w:eastAsia="仿宋_GB2312" w:cstheme="minorBidi"/>
      <w:kern w:val="0"/>
      <w:sz w:val="24"/>
      <w:szCs w:val="21"/>
    </w:rPr>
  </w:style>
  <w:style w:type="character" w:customStyle="1" w:styleId="154">
    <w:name w:val="body1"/>
    <w:qFormat/>
    <w:uiPriority w:val="1"/>
    <w:rPr>
      <w:rFonts w:hint="default" w:ascii="Arial" w:hAnsi="Arial" w:cs="Arial"/>
      <w:sz w:val="18"/>
      <w:szCs w:val="18"/>
    </w:rPr>
  </w:style>
  <w:style w:type="table" w:customStyle="1" w:styleId="155">
    <w:name w:val="无格式表格 21"/>
    <w:basedOn w:val="38"/>
    <w:qFormat/>
    <w:uiPriority w:val="42"/>
    <w:rPr>
      <w:sz w:val="21"/>
      <w:szCs w:val="21"/>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56">
    <w:name w:val="表标题"/>
    <w:basedOn w:val="1"/>
    <w:qFormat/>
    <w:uiPriority w:val="0"/>
    <w:pPr>
      <w:adjustRightInd w:val="0"/>
      <w:snapToGrid w:val="0"/>
      <w:spacing w:before="50" w:beforeLines="50"/>
      <w:ind w:firstLine="200" w:firstLineChars="200"/>
      <w:jc w:val="center"/>
    </w:pPr>
    <w:rPr>
      <w:rFonts w:ascii="Times New Roman" w:hAnsi="Times New Roman" w:eastAsia="黑体" w:cstheme="minorBidi"/>
      <w:szCs w:val="21"/>
    </w:rPr>
  </w:style>
  <w:style w:type="paragraph" w:customStyle="1" w:styleId="157">
    <w:name w:val="图标题"/>
    <w:basedOn w:val="156"/>
    <w:qFormat/>
    <w:uiPriority w:val="0"/>
    <w:pPr>
      <w:spacing w:before="0" w:beforeLines="0" w:after="50" w:afterLines="50"/>
    </w:pPr>
  </w:style>
  <w:style w:type="paragraph" w:customStyle="1" w:styleId="158">
    <w:name w:val="表格内容"/>
    <w:basedOn w:val="1"/>
    <w:qFormat/>
    <w:uiPriority w:val="0"/>
    <w:pPr>
      <w:jc w:val="center"/>
    </w:pPr>
    <w:rPr>
      <w:rFonts w:ascii="Times New Roman" w:hAnsi="Times New Roman" w:eastAsia="仿宋_GB2312" w:cstheme="minorBidi"/>
      <w:szCs w:val="21"/>
    </w:rPr>
  </w:style>
  <w:style w:type="paragraph" w:customStyle="1" w:styleId="159">
    <w:name w:val="图片"/>
    <w:basedOn w:val="1"/>
    <w:qFormat/>
    <w:uiPriority w:val="0"/>
    <w:pPr>
      <w:adjustRightInd w:val="0"/>
      <w:snapToGrid w:val="0"/>
      <w:jc w:val="center"/>
    </w:pPr>
    <w:rPr>
      <w:rFonts w:ascii="Times New Roman" w:hAnsi="Times New Roman" w:eastAsia="黑体" w:cstheme="minorBidi"/>
      <w:kern w:val="0"/>
      <w:sz w:val="24"/>
      <w:szCs w:val="21"/>
    </w:rPr>
  </w:style>
  <w:style w:type="paragraph" w:customStyle="1" w:styleId="160">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61">
    <w:name w:val="明显参考2"/>
    <w:qFormat/>
    <w:uiPriority w:val="32"/>
    <w:rPr>
      <w:b/>
      <w:bCs/>
      <w:smallCaps/>
      <w:color w:val="5B9BD5"/>
      <w:spacing w:val="5"/>
    </w:rPr>
  </w:style>
  <w:style w:type="character" w:customStyle="1" w:styleId="162">
    <w:name w:val="页脚 Char1"/>
    <w:basedOn w:val="41"/>
    <w:semiHidden/>
    <w:qFormat/>
    <w:uiPriority w:val="99"/>
    <w:rPr>
      <w:rFonts w:ascii="Times New Roman" w:hAnsi="Times New Roman" w:eastAsia="仿宋_GB2312" w:cs="Times New Roman"/>
      <w:sz w:val="18"/>
      <w:szCs w:val="18"/>
    </w:rPr>
  </w:style>
  <w:style w:type="character" w:customStyle="1" w:styleId="163">
    <w:name w:val="批注框文本 Char1"/>
    <w:basedOn w:val="41"/>
    <w:semiHidden/>
    <w:qFormat/>
    <w:uiPriority w:val="99"/>
    <w:rPr>
      <w:rFonts w:ascii="Times New Roman" w:hAnsi="Times New Roman" w:eastAsia="仿宋_GB2312" w:cs="Times New Roman"/>
      <w:sz w:val="18"/>
      <w:szCs w:val="18"/>
    </w:rPr>
  </w:style>
  <w:style w:type="character" w:customStyle="1" w:styleId="164">
    <w:name w:val="页眉 Char1"/>
    <w:basedOn w:val="41"/>
    <w:semiHidden/>
    <w:qFormat/>
    <w:uiPriority w:val="99"/>
    <w:rPr>
      <w:rFonts w:ascii="Times New Roman" w:hAnsi="Times New Roman" w:eastAsia="仿宋_GB2312" w:cs="Times New Roman"/>
      <w:sz w:val="18"/>
      <w:szCs w:val="18"/>
    </w:rPr>
  </w:style>
  <w:style w:type="character" w:customStyle="1" w:styleId="165">
    <w:name w:val="批注文字 Char1"/>
    <w:basedOn w:val="41"/>
    <w:semiHidden/>
    <w:qFormat/>
    <w:uiPriority w:val="99"/>
    <w:rPr>
      <w:rFonts w:ascii="Times New Roman" w:hAnsi="Times New Roman" w:eastAsia="仿宋_GB2312" w:cs="Times New Roman"/>
      <w:sz w:val="24"/>
      <w:szCs w:val="20"/>
    </w:rPr>
  </w:style>
  <w:style w:type="character" w:customStyle="1" w:styleId="166">
    <w:name w:val="批注主题 Char1"/>
    <w:basedOn w:val="165"/>
    <w:semiHidden/>
    <w:qFormat/>
    <w:uiPriority w:val="99"/>
    <w:rPr>
      <w:rFonts w:ascii="Times New Roman" w:hAnsi="Times New Roman" w:eastAsia="仿宋_GB2312" w:cs="Times New Roman"/>
      <w:b/>
      <w:bCs/>
      <w:sz w:val="24"/>
      <w:szCs w:val="20"/>
    </w:rPr>
  </w:style>
  <w:style w:type="character" w:customStyle="1" w:styleId="167">
    <w:name w:val="日期 Char1"/>
    <w:basedOn w:val="41"/>
    <w:semiHidden/>
    <w:qFormat/>
    <w:uiPriority w:val="99"/>
    <w:rPr>
      <w:rFonts w:ascii="Times New Roman" w:hAnsi="Times New Roman" w:eastAsia="仿宋_GB2312" w:cs="Times New Roman"/>
      <w:sz w:val="24"/>
      <w:szCs w:val="20"/>
    </w:rPr>
  </w:style>
  <w:style w:type="character" w:styleId="168">
    <w:name w:val="Placeholder Text"/>
    <w:semiHidden/>
    <w:qFormat/>
    <w:uiPriority w:val="99"/>
    <w:rPr>
      <w:color w:val="808080"/>
    </w:rPr>
  </w:style>
  <w:style w:type="table" w:customStyle="1" w:styleId="169">
    <w:name w:val="网格型1"/>
    <w:basedOn w:val="38"/>
    <w:qFormat/>
    <w:uiPriority w:val="0"/>
    <w:rPr>
      <w:rFonts w:ascii="Calibri" w:hAnsi="Calibri" w:eastAsia="宋体" w:cs="Times New Roman"/>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0">
    <w:name w:val="浅色底纹1"/>
    <w:basedOn w:val="38"/>
    <w:qFormat/>
    <w:uiPriority w:val="60"/>
    <w:rPr>
      <w:rFonts w:ascii="Calibri" w:hAnsi="Calibri" w:eastAsia="宋体" w:cs="Times New Roman"/>
      <w:color w:val="000000"/>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71">
    <w:name w:val="clampword3"/>
    <w:qFormat/>
    <w:uiPriority w:val="0"/>
  </w:style>
  <w:style w:type="character" w:customStyle="1" w:styleId="172">
    <w:name w:val="题注 Char"/>
    <w:basedOn w:val="41"/>
    <w:link w:val="13"/>
    <w:qFormat/>
    <w:uiPriority w:val="0"/>
    <w:rPr>
      <w:rFonts w:ascii="Cambria" w:hAnsi="Cambria" w:eastAsia="黑体" w:cs="Times New Roman"/>
      <w:kern w:val="2"/>
    </w:rPr>
  </w:style>
  <w:style w:type="paragraph" w:customStyle="1" w:styleId="173">
    <w:name w:val="图表题"/>
    <w:basedOn w:val="1"/>
    <w:link w:val="174"/>
    <w:qFormat/>
    <w:uiPriority w:val="0"/>
    <w:pPr>
      <w:adjustRightInd w:val="0"/>
      <w:snapToGrid w:val="0"/>
      <w:spacing w:after="50" w:afterLines="50"/>
      <w:jc w:val="center"/>
    </w:pPr>
    <w:rPr>
      <w:rFonts w:ascii="Times New Roman" w:hAnsi="Times New Roman" w:eastAsia="黑体"/>
      <w:b/>
      <w:szCs w:val="21"/>
    </w:rPr>
  </w:style>
  <w:style w:type="character" w:customStyle="1" w:styleId="174">
    <w:name w:val="图表题 Char"/>
    <w:basedOn w:val="41"/>
    <w:link w:val="173"/>
    <w:qFormat/>
    <w:uiPriority w:val="0"/>
    <w:rPr>
      <w:rFonts w:ascii="Times New Roman" w:hAnsi="Times New Roman" w:eastAsia="黑体" w:cs="Times New Roman"/>
      <w:b/>
      <w:kern w:val="2"/>
      <w:sz w:val="21"/>
      <w:szCs w:val="21"/>
    </w:rPr>
  </w:style>
  <w:style w:type="paragraph" w:customStyle="1" w:styleId="175">
    <w:name w:val="表格标题"/>
    <w:basedOn w:val="1"/>
    <w:link w:val="176"/>
    <w:qFormat/>
    <w:uiPriority w:val="0"/>
    <w:pPr>
      <w:adjustRightInd w:val="0"/>
      <w:snapToGrid w:val="0"/>
      <w:spacing w:before="50" w:beforeLines="50"/>
      <w:jc w:val="center"/>
    </w:pPr>
    <w:rPr>
      <w:rFonts w:ascii="Times New Roman" w:hAnsi="Times New Roman" w:eastAsia="黑体"/>
      <w:b/>
      <w:szCs w:val="24"/>
    </w:rPr>
  </w:style>
  <w:style w:type="character" w:customStyle="1" w:styleId="176">
    <w:name w:val="表格标题 Char"/>
    <w:basedOn w:val="41"/>
    <w:link w:val="175"/>
    <w:qFormat/>
    <w:uiPriority w:val="0"/>
    <w:rPr>
      <w:rFonts w:ascii="Times New Roman" w:hAnsi="Times New Roman" w:eastAsia="黑体" w:cs="Times New Roman"/>
      <w:b/>
      <w:kern w:val="2"/>
      <w:sz w:val="21"/>
      <w:szCs w:val="24"/>
    </w:rPr>
  </w:style>
  <w:style w:type="paragraph" w:customStyle="1" w:styleId="17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8">
    <w:name w:val="font6"/>
    <w:basedOn w:val="1"/>
    <w:qFormat/>
    <w:uiPriority w:val="0"/>
    <w:pPr>
      <w:widowControl/>
      <w:spacing w:before="100" w:beforeAutospacing="1" w:after="100" w:afterAutospacing="1"/>
      <w:jc w:val="left"/>
    </w:pPr>
    <w:rPr>
      <w:rFonts w:ascii="Times New Roman" w:hAnsi="Times New Roman"/>
      <w:kern w:val="0"/>
      <w:sz w:val="16"/>
      <w:szCs w:val="16"/>
    </w:rPr>
  </w:style>
  <w:style w:type="paragraph" w:customStyle="1" w:styleId="179">
    <w:name w:val="font7"/>
    <w:basedOn w:val="1"/>
    <w:qFormat/>
    <w:uiPriority w:val="0"/>
    <w:pPr>
      <w:widowControl/>
      <w:spacing w:before="100" w:beforeAutospacing="1" w:after="100" w:afterAutospacing="1"/>
      <w:jc w:val="left"/>
    </w:pPr>
    <w:rPr>
      <w:rFonts w:ascii="Times New Roman" w:hAnsi="Times New Roman"/>
      <w:kern w:val="0"/>
      <w:sz w:val="16"/>
      <w:szCs w:val="16"/>
    </w:rPr>
  </w:style>
  <w:style w:type="paragraph" w:customStyle="1" w:styleId="180">
    <w:name w:val="font8"/>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181">
    <w:name w:val="font9"/>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182">
    <w:name w:val="font10"/>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18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18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8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18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b/>
      <w:bCs/>
      <w:kern w:val="0"/>
      <w:szCs w:val="21"/>
    </w:rPr>
  </w:style>
  <w:style w:type="paragraph" w:customStyle="1" w:styleId="18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 w:hAnsi="仿宋" w:eastAsia="仿宋" w:cs="宋体"/>
      <w:b/>
      <w:bCs/>
      <w:kern w:val="0"/>
      <w:szCs w:val="21"/>
    </w:rPr>
  </w:style>
  <w:style w:type="paragraph" w:customStyle="1" w:styleId="18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6"/>
      <w:szCs w:val="16"/>
    </w:rPr>
  </w:style>
  <w:style w:type="paragraph" w:customStyle="1" w:styleId="18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Cs w:val="21"/>
    </w:rPr>
  </w:style>
  <w:style w:type="paragraph" w:customStyle="1" w:styleId="19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19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19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19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19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Cs w:val="21"/>
    </w:rPr>
  </w:style>
  <w:style w:type="paragraph" w:customStyle="1" w:styleId="195">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Times New Roman" w:hAnsi="Times New Roman"/>
      <w:kern w:val="0"/>
      <w:sz w:val="16"/>
      <w:szCs w:val="16"/>
    </w:rPr>
  </w:style>
  <w:style w:type="paragraph" w:customStyle="1" w:styleId="19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197">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198">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19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20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kern w:val="0"/>
      <w:sz w:val="16"/>
      <w:szCs w:val="16"/>
    </w:rPr>
  </w:style>
  <w:style w:type="paragraph" w:customStyle="1" w:styleId="20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kern w:val="0"/>
      <w:sz w:val="16"/>
      <w:szCs w:val="16"/>
    </w:rPr>
  </w:style>
  <w:style w:type="paragraph" w:customStyle="1" w:styleId="20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203">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kern w:val="0"/>
      <w:sz w:val="16"/>
      <w:szCs w:val="16"/>
    </w:rPr>
  </w:style>
  <w:style w:type="paragraph" w:customStyle="1" w:styleId="204">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kern w:val="0"/>
      <w:sz w:val="16"/>
      <w:szCs w:val="16"/>
    </w:rPr>
  </w:style>
  <w:style w:type="paragraph" w:customStyle="1" w:styleId="205">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6"/>
      <w:szCs w:val="16"/>
    </w:rPr>
  </w:style>
  <w:style w:type="paragraph" w:customStyle="1" w:styleId="206">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kern w:val="0"/>
      <w:sz w:val="16"/>
      <w:szCs w:val="16"/>
    </w:rPr>
  </w:style>
  <w:style w:type="paragraph" w:customStyle="1" w:styleId="207">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6"/>
      <w:szCs w:val="16"/>
    </w:rPr>
  </w:style>
  <w:style w:type="paragraph" w:customStyle="1" w:styleId="208">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kern w:val="0"/>
      <w:sz w:val="16"/>
      <w:szCs w:val="16"/>
    </w:rPr>
  </w:style>
  <w:style w:type="paragraph" w:customStyle="1" w:styleId="20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6"/>
      <w:szCs w:val="16"/>
    </w:rPr>
  </w:style>
  <w:style w:type="paragraph" w:customStyle="1" w:styleId="21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211">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212">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21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4"/>
      <w:szCs w:val="24"/>
    </w:rPr>
  </w:style>
  <w:style w:type="paragraph" w:customStyle="1" w:styleId="214">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21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b/>
      <w:bCs/>
      <w:kern w:val="0"/>
      <w:sz w:val="16"/>
      <w:szCs w:val="16"/>
    </w:rPr>
  </w:style>
  <w:style w:type="paragraph" w:customStyle="1" w:styleId="216">
    <w:name w:val="xl28"/>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Arial Unicode MS"/>
      <w:color w:val="000000"/>
      <w:kern w:val="0"/>
      <w:szCs w:val="21"/>
    </w:rPr>
  </w:style>
  <w:style w:type="table" w:customStyle="1" w:styleId="217">
    <w:name w:val="Table Normal1"/>
    <w:semiHidden/>
    <w:unhideWhenUsed/>
    <w:qFormat/>
    <w:uiPriority w:val="2"/>
    <w:pPr>
      <w:widowControl w:val="0"/>
      <w:autoSpaceDE w:val="0"/>
      <w:autoSpaceDN w:val="0"/>
    </w:pPr>
    <w:rPr>
      <w:rFonts w:ascii="Times New Roman" w:hAnsi="Times New Roman" w:eastAsia="宋体" w:cs="Times New Roman"/>
      <w:sz w:val="22"/>
      <w:szCs w:val="22"/>
      <w:lang w:eastAsia="en-US"/>
    </w:rPr>
    <w:tblPr>
      <w:tblCellMar>
        <w:top w:w="0" w:type="dxa"/>
        <w:left w:w="0" w:type="dxa"/>
        <w:bottom w:w="0" w:type="dxa"/>
        <w:right w:w="0" w:type="dxa"/>
      </w:tblCellMar>
    </w:tblPr>
  </w:style>
  <w:style w:type="table" w:customStyle="1" w:styleId="218">
    <w:name w:val="Table Normal2"/>
    <w:semiHidden/>
    <w:unhideWhenUsed/>
    <w:qFormat/>
    <w:uiPriority w:val="2"/>
    <w:pPr>
      <w:widowControl w:val="0"/>
      <w:autoSpaceDE w:val="0"/>
      <w:autoSpaceDN w:val="0"/>
    </w:pPr>
    <w:rPr>
      <w:rFonts w:ascii="Times New Roman" w:hAnsi="Times New Roman" w:eastAsia="宋体" w:cs="Times New Roman"/>
      <w:sz w:val="22"/>
      <w:szCs w:val="22"/>
      <w:lang w:eastAsia="en-US"/>
    </w:rPr>
    <w:tblPr>
      <w:tblCellMar>
        <w:top w:w="0" w:type="dxa"/>
        <w:left w:w="0" w:type="dxa"/>
        <w:bottom w:w="0" w:type="dxa"/>
        <w:right w:w="0" w:type="dxa"/>
      </w:tblCellMar>
    </w:tblPr>
  </w:style>
  <w:style w:type="table" w:customStyle="1" w:styleId="219">
    <w:name w:val="Table Normal3"/>
    <w:semiHidden/>
    <w:unhideWhenUsed/>
    <w:qFormat/>
    <w:uiPriority w:val="2"/>
    <w:pPr>
      <w:widowControl w:val="0"/>
      <w:autoSpaceDE w:val="0"/>
      <w:autoSpaceDN w:val="0"/>
    </w:pPr>
    <w:rPr>
      <w:rFonts w:ascii="Times New Roman" w:hAnsi="Times New Roman" w:eastAsia="宋体" w:cs="Times New Roman"/>
      <w:sz w:val="22"/>
      <w:szCs w:val="22"/>
      <w:lang w:eastAsia="en-US"/>
    </w:rPr>
    <w:tblPr>
      <w:tblCellMar>
        <w:top w:w="0" w:type="dxa"/>
        <w:left w:w="0" w:type="dxa"/>
        <w:bottom w:w="0" w:type="dxa"/>
        <w:right w:w="0" w:type="dxa"/>
      </w:tblCellMar>
    </w:tblPr>
  </w:style>
  <w:style w:type="table" w:customStyle="1" w:styleId="220">
    <w:name w:val="Table Normal4"/>
    <w:semiHidden/>
    <w:unhideWhenUsed/>
    <w:qFormat/>
    <w:uiPriority w:val="2"/>
    <w:pPr>
      <w:widowControl w:val="0"/>
      <w:autoSpaceDE w:val="0"/>
      <w:autoSpaceDN w:val="0"/>
    </w:pPr>
    <w:rPr>
      <w:rFonts w:ascii="Times New Roman" w:hAnsi="Times New Roman" w:eastAsia="宋体" w:cs="Times New Roman"/>
      <w:sz w:val="22"/>
      <w:szCs w:val="22"/>
      <w:lang w:eastAsia="en-US"/>
    </w:rPr>
    <w:tblPr>
      <w:tblCellMar>
        <w:top w:w="0" w:type="dxa"/>
        <w:left w:w="0" w:type="dxa"/>
        <w:bottom w:w="0" w:type="dxa"/>
        <w:right w:w="0" w:type="dxa"/>
      </w:tblCellMar>
    </w:tblPr>
  </w:style>
  <w:style w:type="table" w:customStyle="1" w:styleId="221">
    <w:name w:val="Table Normal5"/>
    <w:semiHidden/>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222">
    <w:name w:val="Table Normal6"/>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223">
    <w:name w:val="Table Normal7"/>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224">
    <w:name w:val="Table Normal8"/>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225">
    <w:name w:val="Table Normal9"/>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226">
    <w:name w:val="Table Normal10"/>
    <w:semiHidden/>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227">
    <w:name w:val="Table Normal11"/>
    <w:semiHidden/>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228">
    <w:name w:val="Table Normal12"/>
    <w:semiHidden/>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229">
    <w:name w:val="Table Normal13"/>
    <w:semiHidden/>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230">
    <w:name w:val="Table Normal14"/>
    <w:semiHidden/>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character" w:customStyle="1" w:styleId="231">
    <w:name w:val="表格 Char"/>
    <w:link w:val="232"/>
    <w:qFormat/>
    <w:locked/>
    <w:uiPriority w:val="0"/>
    <w:rPr>
      <w:rFonts w:ascii="宋体" w:hAnsi="宋体"/>
    </w:rPr>
  </w:style>
  <w:style w:type="paragraph" w:customStyle="1" w:styleId="232">
    <w:name w:val="表格"/>
    <w:basedOn w:val="1"/>
    <w:link w:val="231"/>
    <w:qFormat/>
    <w:uiPriority w:val="0"/>
    <w:pPr>
      <w:spacing w:before="50" w:after="50"/>
      <w:jc w:val="center"/>
    </w:pPr>
    <w:rPr>
      <w:rFonts w:ascii="宋体" w:hAnsi="宋体" w:eastAsiaTheme="minorEastAsia" w:cstheme="minorBidi"/>
      <w:kern w:val="0"/>
      <w:sz w:val="20"/>
      <w:szCs w:val="20"/>
    </w:rPr>
  </w:style>
  <w:style w:type="paragraph" w:customStyle="1" w:styleId="233">
    <w:name w:val="表格1"/>
    <w:basedOn w:val="1"/>
    <w:qFormat/>
    <w:uiPriority w:val="0"/>
    <w:pPr>
      <w:adjustRightInd w:val="0"/>
      <w:snapToGrid w:val="0"/>
      <w:spacing w:line="480" w:lineRule="exact"/>
    </w:pPr>
    <w:rPr>
      <w:rFonts w:ascii="Times New Roman" w:hAnsi="Times New Roman"/>
      <w:sz w:val="24"/>
      <w:szCs w:val="24"/>
    </w:rPr>
  </w:style>
  <w:style w:type="paragraph" w:customStyle="1" w:styleId="234">
    <w:name w:val="p0"/>
    <w:basedOn w:val="1"/>
    <w:qFormat/>
    <w:uiPriority w:val="0"/>
    <w:pPr>
      <w:widowControl/>
    </w:pPr>
    <w:rPr>
      <w:rFonts w:ascii="Times New Roman" w:hAnsi="Times New Roman"/>
      <w:kern w:val="0"/>
      <w:szCs w:val="21"/>
    </w:rPr>
  </w:style>
  <w:style w:type="character" w:customStyle="1" w:styleId="235">
    <w:name w:val="正文缩进 Char"/>
    <w:link w:val="12"/>
    <w:qFormat/>
    <w:uiPriority w:val="0"/>
    <w:rPr>
      <w:rFonts w:ascii="Times New Roman" w:hAnsi="Times New Roman" w:eastAsia="仿宋_GB2312"/>
      <w:sz w:val="24"/>
    </w:rPr>
  </w:style>
  <w:style w:type="character" w:customStyle="1" w:styleId="236">
    <w:name w:val="sub_title1"/>
    <w:qFormat/>
    <w:uiPriority w:val="0"/>
    <w:rPr>
      <w:color w:val="FF6600"/>
      <w:sz w:val="21"/>
      <w:szCs w:val="21"/>
    </w:rPr>
  </w:style>
  <w:style w:type="paragraph" w:customStyle="1" w:styleId="237">
    <w:name w:val="低行距图表文字"/>
    <w:basedOn w:val="1"/>
    <w:qFormat/>
    <w:uiPriority w:val="0"/>
    <w:pPr>
      <w:spacing w:line="240" w:lineRule="exact"/>
      <w:jc w:val="center"/>
    </w:pPr>
    <w:rPr>
      <w:rFonts w:ascii="仿宋_GB2312" w:hAnsi="Times New Roman" w:eastAsia="仿宋_GB2312"/>
      <w:szCs w:val="21"/>
    </w:rPr>
  </w:style>
  <w:style w:type="character" w:customStyle="1" w:styleId="238">
    <w:name w:val="图表文字 Char"/>
    <w:link w:val="239"/>
    <w:qFormat/>
    <w:uiPriority w:val="0"/>
    <w:rPr>
      <w:rFonts w:ascii="仿宋_GB2312" w:eastAsia="仿宋_GB2312"/>
    </w:rPr>
  </w:style>
  <w:style w:type="paragraph" w:customStyle="1" w:styleId="239">
    <w:name w:val="图表文字"/>
    <w:basedOn w:val="1"/>
    <w:link w:val="238"/>
    <w:qFormat/>
    <w:uiPriority w:val="0"/>
    <w:pPr>
      <w:widowControl/>
      <w:jc w:val="center"/>
    </w:pPr>
    <w:rPr>
      <w:rFonts w:ascii="仿宋_GB2312" w:eastAsia="仿宋_GB2312" w:hAnsiTheme="minorHAnsi" w:cstheme="minorBidi"/>
      <w:kern w:val="0"/>
      <w:sz w:val="20"/>
      <w:szCs w:val="20"/>
    </w:rPr>
  </w:style>
  <w:style w:type="paragraph" w:customStyle="1" w:styleId="240">
    <w:name w:val="小四表文左齐"/>
    <w:basedOn w:val="1"/>
    <w:qFormat/>
    <w:uiPriority w:val="0"/>
    <w:pPr>
      <w:adjustRightInd w:val="0"/>
      <w:snapToGrid w:val="0"/>
      <w:jc w:val="center"/>
    </w:pPr>
    <w:rPr>
      <w:rFonts w:ascii="Times New Roman" w:hAnsi="Times New Roman"/>
      <w:szCs w:val="21"/>
    </w:rPr>
  </w:style>
  <w:style w:type="paragraph" w:customStyle="1" w:styleId="241">
    <w:name w:val="xl65"/>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Times New Roman" w:hAnsi="Times New Roman"/>
      <w:kern w:val="0"/>
      <w:szCs w:val="21"/>
    </w:rPr>
  </w:style>
  <w:style w:type="paragraph" w:customStyle="1" w:styleId="242">
    <w:name w:val="xl6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Cs w:val="21"/>
    </w:rPr>
  </w:style>
  <w:style w:type="paragraph" w:customStyle="1" w:styleId="243">
    <w:name w:val="xl67"/>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Times New Roman" w:hAnsi="Times New Roman"/>
      <w:kern w:val="0"/>
      <w:szCs w:val="21"/>
    </w:rPr>
  </w:style>
  <w:style w:type="paragraph" w:customStyle="1" w:styleId="24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Cs w:val="21"/>
    </w:rPr>
  </w:style>
  <w:style w:type="paragraph" w:customStyle="1" w:styleId="24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Cs w:val="21"/>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Times New Roman" w:hAnsi="Times New Roman"/>
      <w:kern w:val="0"/>
      <w:szCs w:val="21"/>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Cs w:val="21"/>
    </w:rPr>
  </w:style>
  <w:style w:type="paragraph" w:customStyle="1" w:styleId="24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4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Cs w:val="21"/>
    </w:rPr>
  </w:style>
  <w:style w:type="paragraph" w:customStyle="1" w:styleId="250">
    <w:name w:val="TOC 标题11"/>
    <w:basedOn w:val="2"/>
    <w:next w:val="1"/>
    <w:qFormat/>
    <w:uiPriority w:val="39"/>
    <w:pPr>
      <w:widowControl/>
      <w:spacing w:before="0" w:beforeLines="150" w:after="0" w:afterLines="100" w:line="276" w:lineRule="auto"/>
      <w:jc w:val="left"/>
      <w:outlineLvl w:val="9"/>
    </w:pPr>
    <w:rPr>
      <w:rFonts w:ascii="Cambria" w:hAnsi="Cambria" w:eastAsia="仿宋" w:cstheme="minorBidi"/>
      <w:b w:val="0"/>
      <w:bCs/>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2.jpe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emf"/><Relationship Id="rId28" Type="http://schemas.openxmlformats.org/officeDocument/2006/relationships/oleObject" Target="embeddings/oleObject5.bin"/><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3.bin"/><Relationship Id="rId17" Type="http://schemas.openxmlformats.org/officeDocument/2006/relationships/image" Target="media/image8.emf"/><Relationship Id="rId16" Type="http://schemas.openxmlformats.org/officeDocument/2006/relationships/oleObject" Target="embeddings/oleObject2.bin"/><Relationship Id="rId15" Type="http://schemas.openxmlformats.org/officeDocument/2006/relationships/image" Target="media/image7.emf"/><Relationship Id="rId14" Type="http://schemas.openxmlformats.org/officeDocument/2006/relationships/oleObject" Target="embeddings/oleObject1.bin"/><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A92DF7-862B-4F87-84FD-DBD6434046AD}">
  <ds:schemaRefs/>
</ds:datastoreItem>
</file>

<file path=docProps/app.xml><?xml version="1.0" encoding="utf-8"?>
<Properties xmlns="http://schemas.openxmlformats.org/officeDocument/2006/extended-properties" xmlns:vt="http://schemas.openxmlformats.org/officeDocument/2006/docPropsVTypes">
  <Template>Normal</Template>
  <Pages>58</Pages>
  <Words>25501</Words>
  <Characters>29911</Characters>
  <Lines>212</Lines>
  <Paragraphs>59</Paragraphs>
  <TotalTime>5</TotalTime>
  <ScaleCrop>false</ScaleCrop>
  <LinksUpToDate>false</LinksUpToDate>
  <CharactersWithSpaces>35428</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2016-03-16T02:23:00Z</dcterms:created>
  <dc:creator>中晟08</dc:creator>
  <cp:lastModifiedBy>陈金秋</cp:lastModifiedBy>
  <cp:lastPrinted>2019-11-05T05:12:00Z</cp:lastPrinted>
  <dcterms:modified xsi:type="dcterms:W3CDTF">2020-10-10T02:40:32Z</dcterms:modified>
  <cp:revision>315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