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36"/>
          <w:szCs w:val="36"/>
        </w:rPr>
      </w:pPr>
    </w:p>
    <w:p>
      <w:pPr>
        <w:jc w:val="center"/>
        <w:rPr>
          <w:rFonts w:ascii="仿宋_GB2312" w:eastAsia="仿宋_GB2312"/>
          <w:sz w:val="36"/>
          <w:szCs w:val="36"/>
        </w:rPr>
      </w:pPr>
    </w:p>
    <w:p>
      <w:pPr>
        <w:keepNext w:val="0"/>
        <w:keepLines w:val="0"/>
        <w:pageBreakBefore w:val="0"/>
        <w:widowControl w:val="0"/>
        <w:kinsoku/>
        <w:wordWrap/>
        <w:overflowPunct/>
        <w:topLinePunct w:val="0"/>
        <w:autoSpaceDE/>
        <w:autoSpaceDN/>
        <w:bidi w:val="0"/>
        <w:adjustRightInd/>
        <w:snapToGrid/>
        <w:spacing w:line="358" w:lineRule="auto"/>
        <w:ind w:right="0"/>
        <w:jc w:val="right"/>
        <w:textAlignment w:val="auto"/>
        <w:rPr>
          <w:rFonts w:hint="default" w:ascii="Times New Roman" w:hAnsi="Times New Roman" w:eastAsia="仿宋" w:cs="Times New Roman"/>
          <w:b/>
          <w:sz w:val="32"/>
        </w:rPr>
      </w:pPr>
      <w:r>
        <w:rPr>
          <w:rFonts w:hint="default" w:ascii="Times New Roman" w:hAnsi="Times New Roman" w:eastAsia="仿宋" w:cs="Times New Roman"/>
          <w:b/>
          <w:sz w:val="32"/>
        </w:rPr>
        <w:t>应急预案编号：</w:t>
      </w:r>
      <w:r>
        <w:rPr>
          <w:rFonts w:hint="eastAsia" w:eastAsia="仿宋" w:cs="Times New Roman"/>
          <w:b/>
          <w:sz w:val="32"/>
          <w:lang w:val="en-US" w:eastAsia="zh-CN"/>
        </w:rPr>
        <w:t>SS</w:t>
      </w:r>
      <w:r>
        <w:rPr>
          <w:rFonts w:hint="eastAsia" w:eastAsia="仿宋_GB2312"/>
          <w:b/>
          <w:bCs/>
          <w:sz w:val="30"/>
          <w:szCs w:val="30"/>
        </w:rPr>
        <w:t>JXHG</w:t>
      </w:r>
      <w:r>
        <w:rPr>
          <w:rFonts w:hint="eastAsia" w:eastAsia="仿宋" w:cs="Times New Roman"/>
          <w:b/>
          <w:sz w:val="32"/>
          <w:lang w:val="en-US" w:eastAsia="zh-CN"/>
        </w:rPr>
        <w:t>-2020-1</w:t>
      </w:r>
      <w:r>
        <w:rPr>
          <w:rFonts w:hint="default" w:ascii="Times New Roman" w:hAnsi="Times New Roman" w:eastAsia="仿宋" w:cs="Times New Roman"/>
          <w:b/>
          <w:sz w:val="32"/>
        </w:rPr>
        <w:t xml:space="preserve"> </w:t>
      </w:r>
    </w:p>
    <w:p>
      <w:pPr>
        <w:keepNext w:val="0"/>
        <w:keepLines w:val="0"/>
        <w:pageBreakBefore w:val="0"/>
        <w:widowControl w:val="0"/>
        <w:kinsoku/>
        <w:wordWrap/>
        <w:overflowPunct/>
        <w:topLinePunct w:val="0"/>
        <w:autoSpaceDE/>
        <w:autoSpaceDN/>
        <w:bidi w:val="0"/>
        <w:adjustRightInd/>
        <w:snapToGrid/>
        <w:spacing w:line="358" w:lineRule="auto"/>
        <w:ind w:right="0"/>
        <w:jc w:val="center"/>
        <w:textAlignment w:val="auto"/>
        <w:rPr>
          <w:rFonts w:hint="eastAsia" w:ascii="Times New Roman" w:hAnsi="Times New Roman" w:eastAsia="仿宋" w:cs="Times New Roman"/>
          <w:b/>
          <w:sz w:val="32"/>
          <w:lang w:val="en-US" w:eastAsia="zh-CN"/>
        </w:rPr>
      </w:pPr>
      <w:r>
        <w:rPr>
          <w:rFonts w:hint="eastAsia" w:eastAsia="仿宋" w:cs="Times New Roman"/>
          <w:b/>
          <w:spacing w:val="-2"/>
          <w:sz w:val="32"/>
          <w:lang w:val="en-US" w:eastAsia="zh-CN"/>
        </w:rPr>
        <w:t xml:space="preserve">                        </w:t>
      </w:r>
      <w:r>
        <w:rPr>
          <w:rFonts w:hint="default" w:ascii="Times New Roman" w:hAnsi="Times New Roman" w:eastAsia="仿宋" w:cs="Times New Roman"/>
          <w:b/>
          <w:spacing w:val="-2"/>
          <w:sz w:val="32"/>
        </w:rPr>
        <w:t>应急预案版本号：</w:t>
      </w:r>
      <w:r>
        <w:rPr>
          <w:rFonts w:hint="eastAsia" w:eastAsia="仿宋" w:cs="Times New Roman"/>
          <w:b/>
          <w:spacing w:val="-2"/>
          <w:sz w:val="32"/>
          <w:lang w:eastAsia="zh-CN"/>
        </w:rPr>
        <w:t>第一版</w:t>
      </w:r>
    </w:p>
    <w:p>
      <w:pPr>
        <w:pStyle w:val="2"/>
        <w:ind w:left="0"/>
        <w:rPr>
          <w:rFonts w:hint="default" w:ascii="Times New Roman" w:hAnsi="Times New Roman" w:eastAsia="仿宋" w:cs="Times New Roman"/>
          <w:b/>
          <w:sz w:val="32"/>
        </w:rPr>
      </w:pPr>
    </w:p>
    <w:p>
      <w:pPr>
        <w:pStyle w:val="2"/>
        <w:ind w:left="0"/>
        <w:rPr>
          <w:rFonts w:hint="default" w:ascii="Times New Roman" w:hAnsi="Times New Roman" w:eastAsia="仿宋" w:cs="Times New Roman"/>
          <w:b/>
          <w:sz w:val="32"/>
        </w:rPr>
      </w:pPr>
    </w:p>
    <w:p>
      <w:pPr>
        <w:pStyle w:val="2"/>
        <w:ind w:left="0"/>
        <w:rPr>
          <w:rFonts w:hint="default" w:ascii="Times New Roman" w:hAnsi="Times New Roman" w:eastAsia="仿宋" w:cs="Times New Roman"/>
          <w:b/>
          <w:sz w:val="32"/>
        </w:rPr>
      </w:pPr>
    </w:p>
    <w:p>
      <w:pPr>
        <w:pStyle w:val="2"/>
        <w:spacing w:before="7"/>
        <w:ind w:left="0"/>
        <w:rPr>
          <w:rFonts w:hint="default" w:ascii="Times New Roman" w:hAnsi="Times New Roman" w:eastAsia="仿宋" w:cs="Times New Roman"/>
          <w:b/>
          <w:sz w:val="22"/>
        </w:rPr>
      </w:pPr>
    </w:p>
    <w:p>
      <w:pPr>
        <w:jc w:val="center"/>
        <w:rPr>
          <w:rFonts w:hint="default" w:ascii="Times New Roman" w:hAnsi="Times New Roman" w:eastAsia="仿宋" w:cs="Times New Roman"/>
          <w:b/>
          <w:bCs/>
          <w:sz w:val="36"/>
          <w:szCs w:val="36"/>
          <w:lang w:eastAsia="zh-CN"/>
        </w:rPr>
      </w:pPr>
      <w:r>
        <w:rPr>
          <w:rFonts w:hint="eastAsia" w:eastAsia="仿宋" w:cs="Times New Roman"/>
          <w:b/>
          <w:bCs/>
          <w:sz w:val="36"/>
          <w:szCs w:val="36"/>
          <w:lang w:eastAsia="zh-CN"/>
        </w:rPr>
        <w:t>双狮（张家港）精细化工有限公司</w:t>
      </w:r>
    </w:p>
    <w:p>
      <w:pPr>
        <w:jc w:val="center"/>
        <w:rPr>
          <w:rFonts w:hint="default" w:ascii="Times New Roman" w:hAnsi="Times New Roman" w:eastAsia="仿宋" w:cs="Times New Roman"/>
          <w:b/>
          <w:bCs/>
          <w:sz w:val="36"/>
          <w:szCs w:val="36"/>
          <w:lang w:eastAsia="zh-CN"/>
        </w:rPr>
      </w:pPr>
      <w:r>
        <w:rPr>
          <w:rFonts w:hint="default" w:ascii="Times New Roman" w:hAnsi="Times New Roman" w:eastAsia="仿宋" w:cs="Times New Roman"/>
          <w:b/>
          <w:bCs/>
          <w:sz w:val="36"/>
          <w:szCs w:val="36"/>
          <w:lang w:eastAsia="zh-CN"/>
        </w:rPr>
        <w:t>环境</w:t>
      </w:r>
      <w:r>
        <w:rPr>
          <w:rFonts w:hint="eastAsia" w:eastAsia="仿宋" w:cs="Times New Roman"/>
          <w:b/>
          <w:bCs/>
          <w:sz w:val="36"/>
          <w:szCs w:val="36"/>
          <w:lang w:eastAsia="zh-CN"/>
        </w:rPr>
        <w:t>应急预案</w:t>
      </w:r>
      <w:r>
        <w:rPr>
          <w:rFonts w:hint="default" w:ascii="Times New Roman" w:hAnsi="Times New Roman" w:eastAsia="仿宋" w:cs="Times New Roman"/>
          <w:b/>
          <w:bCs/>
          <w:sz w:val="36"/>
          <w:szCs w:val="36"/>
          <w:lang w:eastAsia="zh-CN"/>
        </w:rPr>
        <w:t>土壤及地下</w:t>
      </w:r>
      <w:r>
        <w:rPr>
          <w:rFonts w:hint="eastAsia" w:eastAsia="仿宋" w:cs="Times New Roman"/>
          <w:b/>
          <w:bCs/>
          <w:sz w:val="36"/>
          <w:szCs w:val="36"/>
          <w:lang w:eastAsia="zh-CN"/>
        </w:rPr>
        <w:t>水</w:t>
      </w:r>
    </w:p>
    <w:p>
      <w:pPr>
        <w:jc w:val="center"/>
        <w:rPr>
          <w:rFonts w:hint="default" w:ascii="Times New Roman" w:hAnsi="Times New Roman" w:eastAsia="仿宋" w:cs="Times New Roman"/>
          <w:b/>
          <w:bCs/>
          <w:sz w:val="36"/>
          <w:szCs w:val="36"/>
          <w:lang w:eastAsia="zh-CN"/>
        </w:rPr>
      </w:pPr>
      <w:r>
        <w:rPr>
          <w:rFonts w:hint="eastAsia" w:eastAsia="仿宋" w:cs="Times New Roman"/>
          <w:b/>
          <w:bCs/>
          <w:sz w:val="36"/>
          <w:szCs w:val="36"/>
          <w:lang w:eastAsia="zh-CN"/>
        </w:rPr>
        <w:t>（污染防治专篇</w:t>
      </w:r>
      <w:r>
        <w:rPr>
          <w:rFonts w:hint="default" w:ascii="Times New Roman" w:hAnsi="Times New Roman" w:eastAsia="仿宋" w:cs="Times New Roman"/>
          <w:b/>
          <w:bCs/>
          <w:sz w:val="36"/>
          <w:szCs w:val="36"/>
          <w:lang w:eastAsia="zh-CN"/>
        </w:rPr>
        <w:t>）</w:t>
      </w: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pStyle w:val="2"/>
        <w:ind w:left="0"/>
        <w:rPr>
          <w:rFonts w:hint="default" w:ascii="Times New Roman" w:hAnsi="Times New Roman" w:eastAsia="仿宋" w:cs="Times New Roman"/>
          <w:b/>
          <w:sz w:val="56"/>
        </w:rPr>
      </w:pPr>
    </w:p>
    <w:p>
      <w:pPr>
        <w:keepNext w:val="0"/>
        <w:keepLines w:val="0"/>
        <w:pageBreakBefore w:val="0"/>
        <w:widowControl w:val="0"/>
        <w:kinsoku/>
        <w:wordWrap/>
        <w:overflowPunct/>
        <w:topLinePunct w:val="0"/>
        <w:autoSpaceDE/>
        <w:autoSpaceDN/>
        <w:bidi w:val="0"/>
        <w:adjustRightInd/>
        <w:snapToGrid/>
        <w:spacing w:line="358" w:lineRule="auto"/>
        <w:ind w:left="0" w:right="0" w:firstLine="0"/>
        <w:jc w:val="center"/>
        <w:textAlignment w:val="auto"/>
        <w:rPr>
          <w:rFonts w:hint="default" w:ascii="Times New Roman" w:hAnsi="Times New Roman" w:eastAsia="仿宋" w:cs="Times New Roman"/>
          <w:b/>
          <w:w w:val="95"/>
          <w:sz w:val="32"/>
          <w:lang w:eastAsia="zh-CN"/>
        </w:rPr>
      </w:pPr>
      <w:r>
        <w:rPr>
          <w:rFonts w:hint="eastAsia" w:eastAsia="仿宋" w:cs="Times New Roman"/>
          <w:b/>
          <w:w w:val="95"/>
          <w:sz w:val="32"/>
          <w:lang w:eastAsia="zh-CN"/>
        </w:rPr>
        <w:t>双狮（张家港）精细化工有限公司</w:t>
      </w:r>
    </w:p>
    <w:p>
      <w:pPr>
        <w:jc w:val="center"/>
        <w:rPr>
          <w:rFonts w:hint="default" w:ascii="Times New Roman" w:hAnsi="Times New Roman" w:eastAsia="仿宋" w:cs="Times New Roman"/>
          <w:b/>
          <w:sz w:val="32"/>
          <w:szCs w:val="32"/>
        </w:rPr>
        <w:sectPr>
          <w:headerReference r:id="rId4" w:type="first"/>
          <w:footerReference r:id="rId6" w:type="first"/>
          <w:headerReference r:id="rId3"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r>
        <w:rPr>
          <w:rFonts w:hint="default" w:ascii="Times New Roman" w:hAnsi="Times New Roman" w:eastAsia="仿宋" w:cs="Times New Roman"/>
          <w:b/>
          <w:sz w:val="32"/>
        </w:rPr>
        <w:t>二〇二〇年十月</w:t>
      </w:r>
    </w:p>
    <w:p>
      <w:pPr>
        <w:spacing w:before="214"/>
        <w:ind w:left="1000" w:right="1114" w:firstLine="0"/>
        <w:jc w:val="both"/>
        <w:rPr>
          <w:rFonts w:ascii="黑体" w:hAnsi="黑体" w:eastAsia="黑体" w:cs="Times New Roman"/>
          <w:b/>
          <w:sz w:val="32"/>
          <w:szCs w:val="32"/>
        </w:rPr>
      </w:pPr>
    </w:p>
    <w:p>
      <w:pPr>
        <w:spacing w:before="214"/>
        <w:ind w:left="1000" w:right="1114" w:firstLine="0"/>
        <w:jc w:val="center"/>
        <w:rPr>
          <w:rFonts w:ascii="黑体" w:hAnsi="黑体" w:eastAsia="黑体" w:cs="Times New Roman"/>
          <w:b/>
          <w:sz w:val="32"/>
          <w:szCs w:val="32"/>
        </w:rPr>
      </w:pPr>
    </w:p>
    <w:p>
      <w:pPr>
        <w:spacing w:before="214"/>
        <w:ind w:left="1000" w:right="1114" w:firstLine="0"/>
        <w:jc w:val="center"/>
        <w:rPr>
          <w:rFonts w:hint="default" w:ascii="Times New Roman" w:hAnsi="Times New Roman" w:eastAsia="仿宋" w:cs="Times New Roman"/>
          <w:b/>
          <w:sz w:val="36"/>
          <w:szCs w:val="36"/>
        </w:rPr>
      </w:pPr>
      <w:r>
        <w:rPr>
          <w:rFonts w:hint="default" w:ascii="Times New Roman" w:hAnsi="Times New Roman" w:eastAsia="仿宋" w:cs="Times New Roman"/>
          <w:b/>
          <w:sz w:val="36"/>
          <w:szCs w:val="36"/>
        </w:rPr>
        <w:t xml:space="preserve"> </w:t>
      </w:r>
      <w:r>
        <w:rPr>
          <w:rFonts w:hint="eastAsia" w:ascii="Times New Roman" w:hAnsi="Times New Roman" w:eastAsia="仿宋" w:cs="Times New Roman"/>
          <w:b/>
          <w:sz w:val="36"/>
          <w:szCs w:val="36"/>
          <w:lang w:eastAsia="zh-CN"/>
        </w:rPr>
        <w:t>应急预案</w:t>
      </w:r>
      <w:r>
        <w:rPr>
          <w:rFonts w:hint="default" w:ascii="Times New Roman" w:hAnsi="Times New Roman" w:eastAsia="仿宋" w:cs="Times New Roman"/>
          <w:b/>
          <w:sz w:val="36"/>
          <w:szCs w:val="36"/>
          <w:lang w:eastAsia="zh-CN"/>
        </w:rPr>
        <w:t>土壤及地下</w:t>
      </w:r>
      <w:r>
        <w:rPr>
          <w:rFonts w:hint="eastAsia" w:ascii="Times New Roman" w:hAnsi="Times New Roman" w:eastAsia="仿宋" w:cs="Times New Roman"/>
          <w:b/>
          <w:sz w:val="36"/>
          <w:szCs w:val="36"/>
          <w:lang w:eastAsia="zh-CN"/>
        </w:rPr>
        <w:t>水污染防治专篇</w:t>
      </w:r>
      <w:r>
        <w:rPr>
          <w:rFonts w:hint="default" w:ascii="Times New Roman" w:hAnsi="Times New Roman" w:eastAsia="仿宋" w:cs="Times New Roman"/>
          <w:b/>
          <w:sz w:val="36"/>
          <w:szCs w:val="36"/>
        </w:rPr>
        <w:t>批准页</w:t>
      </w:r>
    </w:p>
    <w:p>
      <w:pPr>
        <w:pStyle w:val="2"/>
        <w:ind w:left="0"/>
        <w:rPr>
          <w:rFonts w:hint="default" w:ascii="Times New Roman" w:hAnsi="Times New Roman" w:eastAsia="仿宋" w:cs="Times New Roman"/>
          <w:b/>
          <w:sz w:val="36"/>
          <w:szCs w:val="36"/>
        </w:rPr>
      </w:pPr>
    </w:p>
    <w:p>
      <w:pPr>
        <w:pStyle w:val="2"/>
        <w:spacing w:before="4"/>
        <w:ind w:left="0"/>
        <w:rPr>
          <w:rFonts w:hint="default" w:ascii="Times New Roman" w:hAnsi="Times New Roman" w:eastAsia="仿宋" w:cs="Times New Roman"/>
          <w:b/>
          <w:sz w:val="36"/>
          <w:szCs w:val="36"/>
        </w:rPr>
      </w:pPr>
    </w:p>
    <w:p>
      <w:pPr>
        <w:spacing w:before="0" w:line="520" w:lineRule="auto"/>
        <w:ind w:left="220" w:right="1138" w:firstLine="0"/>
        <w:jc w:val="left"/>
        <w:rPr>
          <w:rFonts w:hint="default" w:ascii="Times New Roman" w:hAnsi="Times New Roman" w:eastAsia="仿宋" w:cs="Times New Roman"/>
          <w:b/>
          <w:w w:val="95"/>
          <w:sz w:val="36"/>
          <w:szCs w:val="36"/>
          <w:lang w:eastAsia="zh-CN"/>
        </w:rPr>
      </w:pPr>
      <w:r>
        <w:rPr>
          <w:rFonts w:hint="default" w:ascii="Times New Roman" w:hAnsi="Times New Roman" w:eastAsia="仿宋" w:cs="Times New Roman"/>
          <w:b/>
          <w:w w:val="95"/>
          <w:sz w:val="36"/>
          <w:szCs w:val="36"/>
        </w:rPr>
        <w:t>编制单位：</w:t>
      </w:r>
      <w:r>
        <w:rPr>
          <w:rFonts w:hint="eastAsia" w:eastAsia="仿宋" w:cs="Times New Roman"/>
          <w:b/>
          <w:w w:val="95"/>
          <w:sz w:val="36"/>
          <w:szCs w:val="36"/>
          <w:lang w:eastAsia="zh-CN"/>
        </w:rPr>
        <w:t>双狮（张家港）精细化工有限公司</w:t>
      </w:r>
    </w:p>
    <w:p>
      <w:pPr>
        <w:spacing w:before="0" w:line="520" w:lineRule="auto"/>
        <w:ind w:left="220" w:right="1138" w:firstLine="0"/>
        <w:jc w:val="left"/>
        <w:rPr>
          <w:rFonts w:hint="default" w:eastAsia="仿宋" w:cs="Times New Roman"/>
          <w:b/>
          <w:w w:val="95"/>
          <w:sz w:val="36"/>
          <w:szCs w:val="36"/>
          <w:lang w:eastAsia="zh-CN"/>
        </w:rPr>
      </w:pPr>
      <w:r>
        <w:rPr>
          <w:rFonts w:hint="default" w:ascii="Times New Roman" w:hAnsi="Times New Roman" w:eastAsia="仿宋" w:cs="Times New Roman"/>
          <w:b/>
          <w:sz w:val="36"/>
          <w:szCs w:val="36"/>
        </w:rPr>
        <w:t>签 发 人：</w:t>
      </w:r>
    </w:p>
    <w:p>
      <w:pPr>
        <w:tabs>
          <w:tab w:val="left" w:pos="3968"/>
          <w:tab w:val="left" w:pos="5288"/>
          <w:tab w:val="left" w:pos="6611"/>
        </w:tabs>
        <w:spacing w:before="0" w:line="518" w:lineRule="auto"/>
        <w:ind w:left="220" w:right="1814" w:firstLine="0"/>
        <w:jc w:val="left"/>
        <w:rPr>
          <w:rFonts w:hint="default" w:ascii="Times New Roman" w:hAnsi="Times New Roman" w:eastAsia="仿宋" w:cs="Times New Roman"/>
          <w:b/>
          <w:spacing w:val="-17"/>
          <w:sz w:val="36"/>
          <w:szCs w:val="36"/>
        </w:rPr>
      </w:pPr>
      <w:r>
        <w:rPr>
          <w:rFonts w:hint="default" w:ascii="Times New Roman" w:hAnsi="Times New Roman" w:eastAsia="仿宋" w:cs="Times New Roman"/>
          <w:b/>
          <w:sz w:val="36"/>
          <w:szCs w:val="36"/>
        </w:rPr>
        <w:t>签发日期：</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z w:val="36"/>
          <w:szCs w:val="36"/>
        </w:rPr>
        <w:t>年</w:t>
      </w:r>
      <w:r>
        <w:rPr>
          <w:rFonts w:hint="eastAsia" w:eastAsia="仿宋" w:cs="Times New Roman"/>
          <w:b/>
          <w:sz w:val="36"/>
          <w:szCs w:val="36"/>
          <w:lang w:val="en-US" w:eastAsia="zh-CN"/>
        </w:rPr>
        <w:t xml:space="preserve"> </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z w:val="36"/>
          <w:szCs w:val="36"/>
        </w:rPr>
        <w:t>月</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pacing w:val="-17"/>
          <w:sz w:val="36"/>
          <w:szCs w:val="36"/>
        </w:rPr>
        <w:t>日</w:t>
      </w:r>
    </w:p>
    <w:p>
      <w:pPr>
        <w:tabs>
          <w:tab w:val="left" w:pos="3968"/>
          <w:tab w:val="left" w:pos="5288"/>
          <w:tab w:val="left" w:pos="6611"/>
        </w:tabs>
        <w:spacing w:before="0" w:line="518" w:lineRule="auto"/>
        <w:ind w:left="220" w:right="1814" w:firstLine="0"/>
        <w:jc w:val="left"/>
        <w:rPr>
          <w:rFonts w:hint="default" w:ascii="Times New Roman" w:hAnsi="Times New Roman" w:eastAsia="仿宋" w:cs="Times New Roman"/>
          <w:b/>
          <w:spacing w:val="-17"/>
          <w:sz w:val="36"/>
          <w:szCs w:val="36"/>
        </w:rPr>
      </w:pPr>
      <w:r>
        <w:rPr>
          <w:rFonts w:hint="default" w:ascii="Times New Roman" w:hAnsi="Times New Roman" w:eastAsia="仿宋" w:cs="Times New Roman"/>
          <w:b/>
          <w:sz w:val="36"/>
          <w:szCs w:val="36"/>
        </w:rPr>
        <w:t>实施和生效时间：</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z w:val="36"/>
          <w:szCs w:val="36"/>
        </w:rPr>
        <w:t>年</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z w:val="36"/>
          <w:szCs w:val="36"/>
        </w:rPr>
        <w:t>月</w:t>
      </w:r>
      <w:r>
        <w:rPr>
          <w:rFonts w:hint="eastAsia" w:eastAsia="仿宋" w:cs="Times New Roman"/>
          <w:b/>
          <w:sz w:val="36"/>
          <w:szCs w:val="36"/>
          <w:u w:val="single"/>
          <w:lang w:val="en-US" w:eastAsia="zh-CN"/>
        </w:rPr>
        <w:t xml:space="preserve">     </w:t>
      </w:r>
      <w:r>
        <w:rPr>
          <w:rFonts w:hint="default" w:ascii="Times New Roman" w:hAnsi="Times New Roman" w:eastAsia="仿宋" w:cs="Times New Roman"/>
          <w:b/>
          <w:spacing w:val="-17"/>
          <w:sz w:val="36"/>
          <w:szCs w:val="36"/>
        </w:rPr>
        <w:t>日</w:t>
      </w:r>
    </w:p>
    <w:p>
      <w:pPr>
        <w:widowControl/>
        <w:spacing w:line="360" w:lineRule="auto"/>
        <w:ind w:firstLine="696" w:firstLineChars="200"/>
        <w:rPr>
          <w:rFonts w:hint="default" w:ascii="Times New Roman" w:hAnsi="Times New Roman" w:eastAsia="仿宋" w:cs="Times New Roman"/>
          <w:spacing w:val="-6"/>
          <w:sz w:val="36"/>
          <w:szCs w:val="36"/>
        </w:rPr>
      </w:pPr>
    </w:p>
    <w:p>
      <w:pPr>
        <w:widowControl/>
        <w:spacing w:line="360" w:lineRule="auto"/>
        <w:ind w:firstLine="696" w:firstLineChars="200"/>
        <w:rPr>
          <w:rFonts w:hint="default" w:ascii="Times New Roman" w:hAnsi="Times New Roman" w:eastAsia="仿宋" w:cs="Times New Roman"/>
          <w:sz w:val="36"/>
          <w:szCs w:val="36"/>
        </w:rPr>
      </w:pPr>
      <w:r>
        <w:rPr>
          <w:rFonts w:hint="default" w:ascii="Times New Roman" w:hAnsi="Times New Roman" w:eastAsia="仿宋" w:cs="Times New Roman"/>
          <w:spacing w:val="-6"/>
          <w:sz w:val="36"/>
          <w:szCs w:val="36"/>
        </w:rPr>
        <w:t>本预案自发布之日起实施，并生效。预</w:t>
      </w:r>
      <w:r>
        <w:rPr>
          <w:rFonts w:hint="default" w:ascii="Times New Roman" w:hAnsi="Times New Roman" w:eastAsia="仿宋" w:cs="Times New Roman"/>
          <w:spacing w:val="-8"/>
          <w:sz w:val="36"/>
          <w:szCs w:val="36"/>
        </w:rPr>
        <w:t>案批准发布后，企业组织落实预案中的各项工作，进一步明确各项职责和任务分工，加</w:t>
      </w:r>
      <w:r>
        <w:rPr>
          <w:rFonts w:hint="default" w:ascii="Times New Roman" w:hAnsi="Times New Roman" w:eastAsia="仿宋" w:cs="Times New Roman"/>
          <w:spacing w:val="-7"/>
          <w:sz w:val="36"/>
          <w:szCs w:val="36"/>
        </w:rPr>
        <w:t>强应急知识的宣传、教育和培训，定期组织</w:t>
      </w:r>
      <w:r>
        <w:rPr>
          <w:rFonts w:hint="default" w:ascii="Times New Roman" w:hAnsi="Times New Roman" w:eastAsia="仿宋" w:cs="Times New Roman"/>
          <w:sz w:val="36"/>
          <w:szCs w:val="36"/>
        </w:rPr>
        <w:t>应急预案演练，实现应急预案持续改进。</w:t>
      </w:r>
    </w:p>
    <w:p>
      <w:pPr>
        <w:widowControl/>
        <w:spacing w:line="360" w:lineRule="auto"/>
        <w:rPr>
          <w:rFonts w:hint="default" w:ascii="Times New Roman" w:hAnsi="Times New Roman" w:eastAsia="仿宋" w:cs="Times New Roman"/>
          <w:sz w:val="36"/>
          <w:szCs w:val="36"/>
        </w:rPr>
      </w:pPr>
    </w:p>
    <w:p>
      <w:pPr>
        <w:widowControl/>
        <w:spacing w:line="360" w:lineRule="auto"/>
        <w:ind w:firstLine="720" w:firstLineChars="200"/>
        <w:rPr>
          <w:rFonts w:hint="default" w:ascii="Times New Roman" w:hAnsi="Times New Roman" w:eastAsia="仿宋" w:cs="Times New Roman"/>
          <w:sz w:val="36"/>
          <w:szCs w:val="36"/>
        </w:rPr>
      </w:pPr>
    </w:p>
    <w:p>
      <w:pPr>
        <w:widowControl/>
        <w:spacing w:line="360" w:lineRule="auto"/>
        <w:ind w:firstLine="480" w:firstLineChars="200"/>
        <w:rPr>
          <w:rFonts w:hint="default" w:ascii="Times New Roman" w:hAnsi="Times New Roman" w:eastAsia="仿宋" w:cs="Times New Roman"/>
        </w:rPr>
      </w:pPr>
    </w:p>
    <w:p>
      <w:pPr>
        <w:widowControl/>
        <w:spacing w:line="360" w:lineRule="auto"/>
        <w:ind w:firstLine="480" w:firstLineChars="200"/>
        <w:jc w:val="right"/>
        <w:rPr>
          <w:rFonts w:hint="default" w:ascii="Times New Roman" w:hAnsi="Times New Roman" w:eastAsia="仿宋" w:cs="Times New Roman"/>
        </w:rPr>
        <w:sectPr>
          <w:footerReference r:id="rId8" w:type="first"/>
          <w:footerReference r:id="rId7" w:type="default"/>
          <w:pgSz w:w="11906" w:h="16838"/>
          <w:pgMar w:top="1440" w:right="1083" w:bottom="1440" w:left="1083" w:header="851" w:footer="992" w:gutter="0"/>
          <w:pgBorders>
            <w:top w:val="none" w:sz="0" w:space="0"/>
            <w:left w:val="none" w:sz="0" w:space="0"/>
            <w:bottom w:val="none" w:sz="0" w:space="0"/>
            <w:right w:val="none" w:sz="0" w:space="0"/>
          </w:pgBorders>
          <w:pgNumType w:fmt="upperRoman" w:start="1"/>
          <w:cols w:space="425" w:num="1"/>
          <w:docGrid w:type="lines" w:linePitch="326" w:charSpace="0"/>
        </w:sectPr>
      </w:pPr>
    </w:p>
    <w:sdt>
      <w:sdtPr>
        <w:rPr>
          <w:rFonts w:ascii="Times New Roman" w:hAnsi="Times New Roman" w:eastAsia="宋体" w:cs="宋体"/>
          <w:color w:val="auto"/>
          <w:kern w:val="2"/>
          <w:sz w:val="24"/>
          <w:szCs w:val="24"/>
          <w:lang w:val="zh-CN"/>
        </w:rPr>
        <w:id w:val="-883566925"/>
        <w:docPartObj>
          <w:docPartGallery w:val="Table of Contents"/>
          <w:docPartUnique/>
        </w:docPartObj>
      </w:sdtPr>
      <w:sdtEndPr>
        <w:rPr>
          <w:rFonts w:ascii="Times New Roman" w:hAnsi="Times New Roman" w:eastAsia="仿宋" w:cs="Times New Roman"/>
          <w:b/>
          <w:bCs/>
          <w:color w:val="auto"/>
          <w:kern w:val="2"/>
          <w:sz w:val="24"/>
          <w:szCs w:val="24"/>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5"/>
            <w:tabs>
              <w:tab w:val="right" w:leader="dot" w:pos="9740"/>
              <w:tab w:val="clear" w:pos="8296"/>
            </w:tabs>
          </w:pPr>
          <w:r>
            <w:rPr>
              <w:rFonts w:eastAsia="仿宋"/>
            </w:rPr>
            <w:fldChar w:fldCharType="begin"/>
          </w:r>
          <w:r>
            <w:rPr>
              <w:rFonts w:eastAsia="仿宋"/>
            </w:rPr>
            <w:instrText xml:space="preserve"> TOC \o "1-3" \h \z \u </w:instrText>
          </w:r>
          <w:r>
            <w:rPr>
              <w:rFonts w:eastAsia="仿宋"/>
            </w:rPr>
            <w:fldChar w:fldCharType="separate"/>
          </w:r>
          <w:r>
            <w:rPr>
              <w:rFonts w:eastAsia="仿宋"/>
            </w:rPr>
            <w:fldChar w:fldCharType="begin"/>
          </w:r>
          <w:r>
            <w:rPr>
              <w:rFonts w:eastAsia="仿宋"/>
            </w:rPr>
            <w:instrText xml:space="preserve"> HYPERLINK \l _Toc20476 </w:instrText>
          </w:r>
          <w:r>
            <w:rPr>
              <w:rFonts w:eastAsia="仿宋"/>
            </w:rPr>
            <w:fldChar w:fldCharType="separate"/>
          </w:r>
          <w:r>
            <w:rPr>
              <w:rFonts w:eastAsia="黑体" w:cs="Times New Roman"/>
              <w:szCs w:val="32"/>
              <w:lang w:val="en-US"/>
            </w:rPr>
            <w:t>第一章 总则</w:t>
          </w:r>
          <w:r>
            <w:tab/>
          </w:r>
          <w:r>
            <w:fldChar w:fldCharType="begin"/>
          </w:r>
          <w:r>
            <w:instrText xml:space="preserve"> PAGEREF _Toc20476 </w:instrText>
          </w:r>
          <w:r>
            <w:fldChar w:fldCharType="separate"/>
          </w:r>
          <w:r>
            <w:t>1</w:t>
          </w:r>
          <w:r>
            <w:fldChar w:fldCharType="end"/>
          </w:r>
          <w:r>
            <w:rPr>
              <w:rFonts w:eastAsia="仿宋"/>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_Toc26228 </w:instrText>
          </w:r>
          <w:r>
            <w:rPr>
              <w:rFonts w:eastAsia="仿宋" w:cs="Times New Roman"/>
              <w:bCs/>
              <w:lang w:val="zh-CN"/>
            </w:rPr>
            <w:fldChar w:fldCharType="separate"/>
          </w:r>
          <w:r>
            <w:rPr>
              <w:rFonts w:hint="eastAsia" w:ascii="Times New Roman" w:hAnsi="Times New Roman" w:eastAsia="黑体" w:cs="Times New Roman"/>
              <w:kern w:val="2"/>
              <w:szCs w:val="30"/>
              <w:lang w:val="en-US" w:eastAsia="zh-CN" w:bidi="ar-SA"/>
            </w:rPr>
            <w:t>1.1编制目的</w:t>
          </w:r>
          <w:r>
            <w:tab/>
          </w:r>
          <w:r>
            <w:fldChar w:fldCharType="begin"/>
          </w:r>
          <w:r>
            <w:instrText xml:space="preserve"> PAGEREF _Toc26228 </w:instrText>
          </w:r>
          <w:r>
            <w:fldChar w:fldCharType="separate"/>
          </w:r>
          <w:r>
            <w:t>1</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_Toc5426 </w:instrText>
          </w:r>
          <w:r>
            <w:rPr>
              <w:rFonts w:eastAsia="仿宋" w:cs="Times New Roman"/>
              <w:bCs/>
              <w:lang w:val="zh-CN"/>
            </w:rPr>
            <w:fldChar w:fldCharType="separate"/>
          </w:r>
          <w:r>
            <w:rPr>
              <w:rFonts w:hint="eastAsia" w:ascii="Times New Roman" w:hAnsi="Times New Roman" w:eastAsia="黑体" w:cs="Times New Roman"/>
              <w:kern w:val="2"/>
              <w:szCs w:val="30"/>
              <w:lang w:val="en-US" w:eastAsia="zh-CN" w:bidi="ar-SA"/>
            </w:rPr>
            <w:t>1.2编制依据</w:t>
          </w:r>
          <w:r>
            <w:tab/>
          </w:r>
          <w:r>
            <w:fldChar w:fldCharType="begin"/>
          </w:r>
          <w:r>
            <w:instrText xml:space="preserve"> PAGEREF _Toc5426 </w:instrText>
          </w:r>
          <w:r>
            <w:fldChar w:fldCharType="separate"/>
          </w:r>
          <w:r>
            <w:t>1</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_Toc27067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1.2.1</w:t>
          </w:r>
          <w:r>
            <w:rPr>
              <w:rFonts w:ascii="Times New Roman" w:hAnsi="Times New Roman" w:eastAsia="仿宋_GB2312" w:cs="Times New Roman"/>
              <w:kern w:val="2"/>
              <w:szCs w:val="24"/>
              <w:lang w:val="en-US" w:bidi="ar-SA"/>
            </w:rPr>
            <w:t>政策法规、规章</w:t>
          </w:r>
          <w:r>
            <w:tab/>
          </w:r>
          <w:r>
            <w:fldChar w:fldCharType="begin"/>
          </w:r>
          <w:r>
            <w:instrText xml:space="preserve"> PAGEREF _Toc27067 </w:instrText>
          </w:r>
          <w:r>
            <w:fldChar w:fldCharType="separate"/>
          </w:r>
          <w:r>
            <w:t>1</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_Toc25668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1.2.2标准、技术规范</w:t>
          </w:r>
          <w:r>
            <w:tab/>
          </w:r>
          <w:r>
            <w:fldChar w:fldCharType="begin"/>
          </w:r>
          <w:r>
            <w:instrText xml:space="preserve"> PAGEREF _Toc25668 </w:instrText>
          </w:r>
          <w:r>
            <w:fldChar w:fldCharType="separate"/>
          </w:r>
          <w:r>
            <w:t>3</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_Toc31979 </w:instrText>
          </w:r>
          <w:r>
            <w:rPr>
              <w:rFonts w:eastAsia="仿宋" w:cs="Times New Roman"/>
              <w:bCs/>
              <w:lang w:val="zh-CN"/>
            </w:rPr>
            <w:fldChar w:fldCharType="separate"/>
          </w:r>
          <w:r>
            <w:rPr>
              <w:rFonts w:hint="eastAsia" w:ascii="Times New Roman" w:hAnsi="Times New Roman" w:eastAsia="黑体" w:cs="Times New Roman"/>
              <w:kern w:val="2"/>
              <w:szCs w:val="30"/>
              <w:lang w:val="en-US" w:eastAsia="zh-CN" w:bidi="ar-SA"/>
            </w:rPr>
            <w:t>1.3适用范围</w:t>
          </w:r>
          <w:r>
            <w:tab/>
          </w:r>
          <w:r>
            <w:fldChar w:fldCharType="begin"/>
          </w:r>
          <w:r>
            <w:instrText xml:space="preserve"> PAGEREF _Toc31979 </w:instrText>
          </w:r>
          <w:r>
            <w:fldChar w:fldCharType="separate"/>
          </w:r>
          <w:r>
            <w:t>4</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_Toc2079 </w:instrText>
          </w:r>
          <w:r>
            <w:rPr>
              <w:rFonts w:eastAsia="仿宋" w:cs="Times New Roman"/>
              <w:bCs/>
              <w:lang w:val="zh-CN"/>
            </w:rPr>
            <w:fldChar w:fldCharType="separate"/>
          </w:r>
          <w:r>
            <w:rPr>
              <w:rFonts w:hint="eastAsia" w:ascii="Times New Roman" w:hAnsi="Times New Roman" w:eastAsia="黑体" w:cs="Times New Roman"/>
              <w:kern w:val="2"/>
              <w:szCs w:val="30"/>
              <w:lang w:val="en-US" w:eastAsia="zh-CN" w:bidi="ar-SA"/>
            </w:rPr>
            <w:t>1.4应急预案体系</w:t>
          </w:r>
          <w:r>
            <w:tab/>
          </w:r>
          <w:r>
            <w:fldChar w:fldCharType="begin"/>
          </w:r>
          <w:r>
            <w:instrText xml:space="preserve"> PAGEREF _Toc2079 </w:instrText>
          </w:r>
          <w:r>
            <w:fldChar w:fldCharType="separate"/>
          </w:r>
          <w:r>
            <w:t>5</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_Toc23868 </w:instrText>
          </w:r>
          <w:r>
            <w:rPr>
              <w:rFonts w:eastAsia="仿宋" w:cs="Times New Roman"/>
              <w:bCs/>
              <w:lang w:val="zh-CN"/>
            </w:rPr>
            <w:fldChar w:fldCharType="separate"/>
          </w:r>
          <w:r>
            <w:rPr>
              <w:rFonts w:hint="eastAsia" w:ascii="Times New Roman" w:hAnsi="Times New Roman" w:eastAsia="黑体" w:cs="Times New Roman"/>
              <w:kern w:val="2"/>
              <w:szCs w:val="30"/>
              <w:lang w:val="en-US" w:eastAsia="zh-CN" w:bidi="ar-SA"/>
            </w:rPr>
            <w:t>1.5工作原则</w:t>
          </w:r>
          <w:r>
            <w:tab/>
          </w:r>
          <w:r>
            <w:fldChar w:fldCharType="begin"/>
          </w:r>
          <w:r>
            <w:instrText xml:space="preserve"> PAGEREF _Toc23868 </w:instrText>
          </w:r>
          <w:r>
            <w:fldChar w:fldCharType="separate"/>
          </w:r>
          <w:r>
            <w:t>5</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_Toc22314 </w:instrText>
          </w:r>
          <w:r>
            <w:rPr>
              <w:rFonts w:eastAsia="仿宋" w:cs="Times New Roman"/>
              <w:bCs/>
              <w:lang w:val="zh-CN"/>
            </w:rPr>
            <w:fldChar w:fldCharType="separate"/>
          </w:r>
          <w:r>
            <w:rPr>
              <w:rFonts w:eastAsia="黑体" w:cs="Times New Roman"/>
              <w:szCs w:val="32"/>
              <w:lang w:val="en-US"/>
            </w:rPr>
            <w:t>第二章 基本情况</w:t>
          </w:r>
          <w:r>
            <w:tab/>
          </w:r>
          <w:r>
            <w:fldChar w:fldCharType="begin"/>
          </w:r>
          <w:r>
            <w:instrText xml:space="preserve"> PAGEREF _Toc22314 </w:instrText>
          </w:r>
          <w:r>
            <w:fldChar w:fldCharType="separate"/>
          </w:r>
          <w:r>
            <w:t>6</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_Toc9534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2.1企业简介</w:t>
          </w:r>
          <w:r>
            <w:tab/>
          </w:r>
          <w:r>
            <w:fldChar w:fldCharType="begin"/>
          </w:r>
          <w:r>
            <w:instrText xml:space="preserve"> PAGEREF _Toc9534 </w:instrText>
          </w:r>
          <w:r>
            <w:fldChar w:fldCharType="separate"/>
          </w:r>
          <w:r>
            <w:t>6</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_Toc20571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2.2区域环境状况</w:t>
          </w:r>
          <w:r>
            <w:tab/>
          </w:r>
          <w:r>
            <w:fldChar w:fldCharType="begin"/>
          </w:r>
          <w:r>
            <w:instrText xml:space="preserve"> PAGEREF _Toc20571 </w:instrText>
          </w:r>
          <w:r>
            <w:fldChar w:fldCharType="separate"/>
          </w:r>
          <w:r>
            <w:t>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_Toc29741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2.2.1位置境域</w:t>
          </w:r>
          <w:r>
            <w:tab/>
          </w:r>
          <w:r>
            <w:fldChar w:fldCharType="begin"/>
          </w:r>
          <w:r>
            <w:instrText xml:space="preserve"> PAGEREF _Toc29741 </w:instrText>
          </w:r>
          <w:r>
            <w:fldChar w:fldCharType="separate"/>
          </w:r>
          <w:r>
            <w:t>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_Toc10667 </w:instrText>
          </w:r>
          <w:r>
            <w:rPr>
              <w:rFonts w:eastAsia="仿宋" w:cs="Times New Roman"/>
              <w:bCs/>
              <w:lang w:val="zh-CN"/>
            </w:rPr>
            <w:fldChar w:fldCharType="separate"/>
          </w:r>
          <w:r>
            <w:rPr>
              <w:rFonts w:eastAsia="仿宋_GB2312" w:cs="Times New Roman"/>
              <w:szCs w:val="24"/>
            </w:rPr>
            <w:t>2.</w:t>
          </w:r>
          <w:r>
            <w:rPr>
              <w:rFonts w:hint="eastAsia" w:eastAsia="仿宋_GB2312" w:cs="Times New Roman"/>
              <w:szCs w:val="24"/>
              <w:lang w:val="en-US" w:eastAsia="zh-CN"/>
            </w:rPr>
            <w:t>2</w:t>
          </w:r>
          <w:r>
            <w:rPr>
              <w:rFonts w:eastAsia="仿宋_GB2312" w:cs="Times New Roman"/>
              <w:szCs w:val="24"/>
            </w:rPr>
            <w:t>.2 气候气象</w:t>
          </w:r>
          <w:r>
            <w:tab/>
          </w:r>
          <w:r>
            <w:fldChar w:fldCharType="begin"/>
          </w:r>
          <w:r>
            <w:instrText xml:space="preserve"> PAGEREF _Toc10667 </w:instrText>
          </w:r>
          <w:r>
            <w:fldChar w:fldCharType="separate"/>
          </w:r>
          <w:r>
            <w:t>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_Toc13573 </w:instrText>
          </w:r>
          <w:r>
            <w:rPr>
              <w:rFonts w:eastAsia="仿宋" w:cs="Times New Roman"/>
              <w:bCs/>
              <w:lang w:val="zh-CN"/>
            </w:rPr>
            <w:fldChar w:fldCharType="separate"/>
          </w:r>
          <w:r>
            <w:rPr>
              <w:rFonts w:eastAsia="仿宋_GB2312" w:cs="Times New Roman"/>
              <w:szCs w:val="24"/>
            </w:rPr>
            <w:t>2.</w:t>
          </w:r>
          <w:r>
            <w:rPr>
              <w:rFonts w:hint="eastAsia" w:eastAsia="仿宋_GB2312" w:cs="Times New Roman"/>
              <w:szCs w:val="24"/>
              <w:lang w:val="en-US" w:eastAsia="zh-CN"/>
            </w:rPr>
            <w:t>2</w:t>
          </w:r>
          <w:r>
            <w:rPr>
              <w:rFonts w:eastAsia="仿宋_GB2312" w:cs="Times New Roman"/>
              <w:szCs w:val="24"/>
            </w:rPr>
            <w:t>.3 地形地貌</w:t>
          </w:r>
          <w:r>
            <w:rPr>
              <w:rFonts w:hint="eastAsia" w:eastAsia="仿宋_GB2312" w:cs="Times New Roman"/>
              <w:szCs w:val="24"/>
            </w:rPr>
            <w:t>及地质</w:t>
          </w:r>
          <w:r>
            <w:tab/>
          </w:r>
          <w:r>
            <w:fldChar w:fldCharType="begin"/>
          </w:r>
          <w:r>
            <w:instrText xml:space="preserve"> PAGEREF _Toc13573 </w:instrText>
          </w:r>
          <w:r>
            <w:fldChar w:fldCharType="separate"/>
          </w:r>
          <w:r>
            <w:t>9</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_Toc9066 </w:instrText>
          </w:r>
          <w:r>
            <w:rPr>
              <w:rFonts w:eastAsia="仿宋" w:cs="Times New Roman"/>
              <w:bCs/>
              <w:lang w:val="zh-CN"/>
            </w:rPr>
            <w:fldChar w:fldCharType="separate"/>
          </w:r>
          <w:r>
            <w:rPr>
              <w:rFonts w:eastAsia="仿宋_GB2312" w:cs="Times New Roman"/>
              <w:szCs w:val="24"/>
            </w:rPr>
            <w:t>2.</w:t>
          </w:r>
          <w:r>
            <w:rPr>
              <w:rFonts w:hint="eastAsia" w:eastAsia="仿宋_GB2312" w:cs="Times New Roman"/>
              <w:szCs w:val="24"/>
              <w:lang w:val="en-US" w:eastAsia="zh-CN"/>
            </w:rPr>
            <w:t>2</w:t>
          </w:r>
          <w:r>
            <w:rPr>
              <w:rFonts w:eastAsia="仿宋_GB2312" w:cs="Times New Roman"/>
              <w:szCs w:val="24"/>
            </w:rPr>
            <w:t>.4 水系</w:t>
          </w:r>
          <w:r>
            <w:rPr>
              <w:rFonts w:hint="eastAsia" w:eastAsia="仿宋_GB2312" w:cs="Times New Roman"/>
              <w:szCs w:val="24"/>
            </w:rPr>
            <w:t>及水文</w:t>
          </w:r>
          <w:r>
            <w:rPr>
              <w:rFonts w:eastAsia="仿宋_GB2312" w:cs="Times New Roman"/>
              <w:szCs w:val="24"/>
            </w:rPr>
            <w:t>特征</w:t>
          </w:r>
          <w:r>
            <w:tab/>
          </w:r>
          <w:r>
            <w:fldChar w:fldCharType="begin"/>
          </w:r>
          <w:r>
            <w:instrText xml:space="preserve"> PAGEREF _Toc9066 </w:instrText>
          </w:r>
          <w:r>
            <w:fldChar w:fldCharType="separate"/>
          </w:r>
          <w:r>
            <w:t>9</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_Toc11025 </w:instrText>
          </w:r>
          <w:r>
            <w:rPr>
              <w:rFonts w:eastAsia="仿宋" w:cs="Times New Roman"/>
              <w:bCs/>
              <w:lang w:val="zh-CN"/>
            </w:rPr>
            <w:fldChar w:fldCharType="separate"/>
          </w:r>
          <w:r>
            <w:rPr>
              <w:rFonts w:eastAsia="仿宋_GB2312" w:cs="Times New Roman"/>
              <w:szCs w:val="24"/>
            </w:rPr>
            <w:t>2.</w:t>
          </w:r>
          <w:r>
            <w:rPr>
              <w:rFonts w:hint="eastAsia" w:eastAsia="仿宋_GB2312" w:cs="Times New Roman"/>
              <w:szCs w:val="24"/>
              <w:lang w:val="en-US" w:eastAsia="zh-CN"/>
            </w:rPr>
            <w:t>2</w:t>
          </w:r>
          <w:r>
            <w:rPr>
              <w:rFonts w:eastAsia="仿宋_GB2312" w:cs="Times New Roman"/>
              <w:szCs w:val="24"/>
            </w:rPr>
            <w:t xml:space="preserve">.5 </w:t>
          </w:r>
          <w:r>
            <w:rPr>
              <w:rFonts w:hint="eastAsia" w:eastAsia="仿宋_GB2312" w:cs="Times New Roman"/>
              <w:szCs w:val="24"/>
            </w:rPr>
            <w:t>生态和自然资源</w:t>
          </w:r>
          <w:r>
            <w:tab/>
          </w:r>
          <w:r>
            <w:fldChar w:fldCharType="begin"/>
          </w:r>
          <w:r>
            <w:instrText xml:space="preserve"> PAGEREF _Toc11025 </w:instrText>
          </w:r>
          <w:r>
            <w:fldChar w:fldCharType="separate"/>
          </w:r>
          <w:r>
            <w:t>10</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_Toc20234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2.3场地地理位置</w:t>
          </w:r>
          <w:r>
            <w:tab/>
          </w:r>
          <w:r>
            <w:fldChar w:fldCharType="begin"/>
          </w:r>
          <w:r>
            <w:instrText xml:space="preserve"> PAGEREF _Toc20234 </w:instrText>
          </w:r>
          <w:r>
            <w:fldChar w:fldCharType="separate"/>
          </w:r>
          <w:r>
            <w:t>10</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_Toc22532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2.4敏感目标</w:t>
          </w:r>
          <w:r>
            <w:tab/>
          </w:r>
          <w:r>
            <w:fldChar w:fldCharType="begin"/>
          </w:r>
          <w:r>
            <w:instrText xml:space="preserve"> PAGEREF _Toc22532 </w:instrText>
          </w:r>
          <w:r>
            <w:fldChar w:fldCharType="separate"/>
          </w:r>
          <w:r>
            <w:t>11</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_Toc11602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2.5环境风险源基本情况</w:t>
          </w:r>
          <w:r>
            <w:tab/>
          </w:r>
          <w:r>
            <w:fldChar w:fldCharType="begin"/>
          </w:r>
          <w:r>
            <w:instrText xml:space="preserve"> PAGEREF _Toc11602 </w:instrText>
          </w:r>
          <w:r>
            <w:fldChar w:fldCharType="separate"/>
          </w:r>
          <w:r>
            <w:t>14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_Toc12264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2.5.1总平面布局</w:t>
          </w:r>
          <w:r>
            <w:tab/>
          </w:r>
          <w:r>
            <w:fldChar w:fldCharType="begin"/>
          </w:r>
          <w:r>
            <w:instrText xml:space="preserve"> PAGEREF _Toc12264 </w:instrText>
          </w:r>
          <w:r>
            <w:fldChar w:fldCharType="separate"/>
          </w:r>
          <w:r>
            <w:t>14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_Toc26392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2.5.2产品方案</w:t>
          </w:r>
          <w:r>
            <w:tab/>
          </w:r>
          <w:r>
            <w:fldChar w:fldCharType="begin"/>
          </w:r>
          <w:r>
            <w:instrText xml:space="preserve"> PAGEREF _Toc26392 </w:instrText>
          </w:r>
          <w:r>
            <w:fldChar w:fldCharType="separate"/>
          </w:r>
          <w:r>
            <w:t>17</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_Toc29022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2.5.3原、辅料及其组分</w:t>
          </w:r>
          <w:r>
            <w:tab/>
          </w:r>
          <w:r>
            <w:fldChar w:fldCharType="begin"/>
          </w:r>
          <w:r>
            <w:instrText xml:space="preserve"> PAGEREF _Toc29022 </w:instrText>
          </w:r>
          <w:r>
            <w:fldChar w:fldCharType="separate"/>
          </w:r>
          <w:r>
            <w:t>18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_Toc15612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2.5.4生产工艺</w:t>
          </w:r>
          <w:r>
            <w:tab/>
          </w:r>
          <w:r>
            <w:fldChar w:fldCharType="begin"/>
          </w:r>
          <w:r>
            <w:instrText xml:space="preserve"> PAGEREF _Toc15612 </w:instrText>
          </w:r>
          <w:r>
            <w:fldChar w:fldCharType="separate"/>
          </w:r>
          <w:r>
            <w:t>24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_Toc27908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2.5.5企业污染物产生及治理情况</w:t>
          </w:r>
          <w:r>
            <w:tab/>
          </w:r>
          <w:r>
            <w:fldChar w:fldCharType="begin"/>
          </w:r>
          <w:r>
            <w:instrText xml:space="preserve"> PAGEREF _Toc27908 </w:instrText>
          </w:r>
          <w:r>
            <w:fldChar w:fldCharType="separate"/>
          </w:r>
          <w:r>
            <w:t>35</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_Toc28083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2.5.6</w:t>
          </w:r>
          <w:r>
            <w:rPr>
              <w:rFonts w:ascii="Times New Roman" w:hAnsi="Times New Roman" w:eastAsia="仿宋_GB2312" w:cs="Times New Roman"/>
              <w:kern w:val="2"/>
              <w:szCs w:val="24"/>
              <w:lang w:val="en-US" w:bidi="ar-SA"/>
            </w:rPr>
            <w:t>环境功能区环境质量标准、排放标准</w:t>
          </w:r>
          <w:r>
            <w:tab/>
          </w:r>
          <w:r>
            <w:fldChar w:fldCharType="begin"/>
          </w:r>
          <w:r>
            <w:instrText xml:space="preserve"> PAGEREF _Toc28083 </w:instrText>
          </w:r>
          <w:r>
            <w:fldChar w:fldCharType="separate"/>
          </w:r>
          <w:r>
            <w:t>38</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_Toc7429 </w:instrText>
          </w:r>
          <w:r>
            <w:rPr>
              <w:rFonts w:eastAsia="仿宋" w:cs="Times New Roman"/>
              <w:bCs/>
              <w:lang w:val="zh-CN"/>
            </w:rPr>
            <w:fldChar w:fldCharType="separate"/>
          </w:r>
          <w:r>
            <w:rPr>
              <w:rFonts w:hint="eastAsia" w:eastAsia="黑体" w:cs="Times New Roman"/>
              <w:szCs w:val="32"/>
              <w:lang w:val="en-US"/>
            </w:rPr>
            <w:t>第三章 土壤</w:t>
          </w:r>
          <w:r>
            <w:rPr>
              <w:rFonts w:hint="eastAsia" w:eastAsia="黑体" w:cs="Times New Roman"/>
              <w:szCs w:val="32"/>
              <w:lang w:val="en-US" w:eastAsia="zh-CN"/>
            </w:rPr>
            <w:t>及地下水</w:t>
          </w:r>
          <w:r>
            <w:rPr>
              <w:rFonts w:hint="eastAsia" w:eastAsia="黑体" w:cs="Times New Roman"/>
              <w:szCs w:val="32"/>
              <w:lang w:val="en-US"/>
            </w:rPr>
            <w:t>环境风险源与环境风险分析</w:t>
          </w:r>
          <w:r>
            <w:tab/>
          </w:r>
          <w:r>
            <w:fldChar w:fldCharType="begin"/>
          </w:r>
          <w:r>
            <w:instrText xml:space="preserve"> PAGEREF _Toc7429 </w:instrText>
          </w:r>
          <w:r>
            <w:fldChar w:fldCharType="separate"/>
          </w:r>
          <w:r>
            <w:t>39</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_Toc4062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3.1土壤及地下水环境风险源识别</w:t>
          </w:r>
          <w:r>
            <w:tab/>
          </w:r>
          <w:r>
            <w:fldChar w:fldCharType="begin"/>
          </w:r>
          <w:r>
            <w:instrText xml:space="preserve"> PAGEREF _Toc4062 </w:instrText>
          </w:r>
          <w:r>
            <w:fldChar w:fldCharType="separate"/>
          </w:r>
          <w:r>
            <w:t>39</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_Toc13848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.1原料储罐</w:t>
          </w:r>
          <w:r>
            <w:tab/>
          </w:r>
          <w:r>
            <w:fldChar w:fldCharType="begin"/>
          </w:r>
          <w:r>
            <w:instrText xml:space="preserve"> PAGEREF _Toc13848 </w:instrText>
          </w:r>
          <w:r>
            <w:fldChar w:fldCharType="separate"/>
          </w:r>
          <w:r>
            <w:t>39</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_Toc909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.2装车与卸货</w:t>
          </w:r>
          <w:r>
            <w:tab/>
          </w:r>
          <w:r>
            <w:fldChar w:fldCharType="begin"/>
          </w:r>
          <w:r>
            <w:instrText xml:space="preserve"> PAGEREF _Toc909 </w:instrText>
          </w:r>
          <w:r>
            <w:fldChar w:fldCharType="separate"/>
          </w:r>
          <w:r>
            <w:t>40</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_Toc25973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.3管道运输</w:t>
          </w:r>
          <w:r>
            <w:tab/>
          </w:r>
          <w:r>
            <w:fldChar w:fldCharType="begin"/>
          </w:r>
          <w:r>
            <w:instrText xml:space="preserve"> PAGEREF _Toc25973 </w:instrText>
          </w:r>
          <w:r>
            <w:fldChar w:fldCharType="separate"/>
          </w:r>
          <w:r>
            <w:t>40</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_Toc215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.4输送泵</w:t>
          </w:r>
          <w:r>
            <w:tab/>
          </w:r>
          <w:r>
            <w:fldChar w:fldCharType="begin"/>
          </w:r>
          <w:r>
            <w:instrText xml:space="preserve"> PAGEREF _Toc215 </w:instrText>
          </w:r>
          <w:r>
            <w:fldChar w:fldCharType="separate"/>
          </w:r>
          <w:r>
            <w:t>41</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_Toc19346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.5水坑或渗坑</w:t>
          </w:r>
          <w:r>
            <w:tab/>
          </w:r>
          <w:r>
            <w:fldChar w:fldCharType="begin"/>
          </w:r>
          <w:r>
            <w:instrText xml:space="preserve"> PAGEREF _Toc19346 </w:instrText>
          </w:r>
          <w:r>
            <w:fldChar w:fldCharType="separate"/>
          </w:r>
          <w:r>
            <w:t>41</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_Toc13359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.6散装和包装材料的存储与运输</w:t>
          </w:r>
          <w:r>
            <w:tab/>
          </w:r>
          <w:r>
            <w:fldChar w:fldCharType="begin"/>
          </w:r>
          <w:r>
            <w:instrText xml:space="preserve"> PAGEREF _Toc13359 </w:instrText>
          </w:r>
          <w:r>
            <w:fldChar w:fldCharType="separate"/>
          </w:r>
          <w:r>
            <w:t>42</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_Toc418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w:t>
          </w:r>
          <w:r>
            <w:rPr>
              <w:rFonts w:hint="eastAsia" w:eastAsia="仿宋_GB2312" w:cs="Times New Roman"/>
              <w:kern w:val="2"/>
              <w:szCs w:val="24"/>
              <w:lang w:val="en-US" w:eastAsia="zh-CN" w:bidi="ar-SA"/>
            </w:rPr>
            <w:t>1</w:t>
          </w:r>
          <w:r>
            <w:rPr>
              <w:rFonts w:hint="eastAsia" w:ascii="Times New Roman" w:hAnsi="Times New Roman" w:eastAsia="仿宋_GB2312" w:cs="Times New Roman"/>
              <w:kern w:val="2"/>
              <w:szCs w:val="24"/>
              <w:lang w:val="en-US" w:eastAsia="zh-CN" w:bidi="ar-SA"/>
            </w:rPr>
            <w:t>.7固体及液态废物的存储与运输</w:t>
          </w:r>
          <w:r>
            <w:tab/>
          </w:r>
          <w:r>
            <w:fldChar w:fldCharType="begin"/>
          </w:r>
          <w:r>
            <w:instrText xml:space="preserve"> PAGEREF _Toc418 </w:instrText>
          </w:r>
          <w:r>
            <w:fldChar w:fldCharType="separate"/>
          </w:r>
          <w:r>
            <w:t>42</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_Toc7770 </w:instrText>
          </w:r>
          <w:r>
            <w:rPr>
              <w:rFonts w:eastAsia="仿宋" w:cs="Times New Roman"/>
              <w:bCs/>
              <w:lang w:val="zh-CN"/>
            </w:rPr>
            <w:fldChar w:fldCharType="separate"/>
          </w:r>
          <w:r>
            <w:rPr>
              <w:rFonts w:hint="eastAsia" w:eastAsia="仿宋_GB2312" w:cs="Times New Roman"/>
              <w:kern w:val="2"/>
              <w:szCs w:val="24"/>
              <w:lang w:val="en-US" w:eastAsia="zh-CN" w:bidi="ar-SA"/>
            </w:rPr>
            <w:t>3.1.8生产活动</w:t>
          </w:r>
          <w:r>
            <w:tab/>
          </w:r>
          <w:r>
            <w:fldChar w:fldCharType="begin"/>
          </w:r>
          <w:r>
            <w:instrText xml:space="preserve"> PAGEREF _Toc7770 </w:instrText>
          </w:r>
          <w:r>
            <w:fldChar w:fldCharType="separate"/>
          </w:r>
          <w:r>
            <w:t>43</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_Toc10282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3.3.</w:t>
          </w:r>
          <w:r>
            <w:rPr>
              <w:rFonts w:hint="eastAsia" w:eastAsia="仿宋_GB2312" w:cs="Times New Roman"/>
              <w:kern w:val="2"/>
              <w:szCs w:val="24"/>
              <w:lang w:val="en-US" w:eastAsia="zh-CN" w:bidi="ar-SA"/>
            </w:rPr>
            <w:t>9</w:t>
          </w:r>
          <w:r>
            <w:rPr>
              <w:rFonts w:hint="eastAsia" w:ascii="Times New Roman" w:hAnsi="Times New Roman" w:eastAsia="仿宋_GB2312" w:cs="Times New Roman"/>
              <w:kern w:val="2"/>
              <w:szCs w:val="24"/>
              <w:lang w:val="en-US" w:eastAsia="zh-CN" w:bidi="ar-SA"/>
            </w:rPr>
            <w:t>其它活动</w:t>
          </w:r>
          <w:r>
            <w:tab/>
          </w:r>
          <w:r>
            <w:fldChar w:fldCharType="begin"/>
          </w:r>
          <w:r>
            <w:instrText xml:space="preserve"> PAGEREF _Toc10282 </w:instrText>
          </w:r>
          <w:r>
            <w:fldChar w:fldCharType="separate"/>
          </w:r>
          <w:r>
            <w:t>44</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_Toc23869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3.2物质风险识别</w:t>
          </w:r>
          <w:r>
            <w:tab/>
          </w:r>
          <w:r>
            <w:fldChar w:fldCharType="begin"/>
          </w:r>
          <w:r>
            <w:instrText xml:space="preserve"> PAGEREF _Toc23869 </w:instrText>
          </w:r>
          <w:r>
            <w:fldChar w:fldCharType="separate"/>
          </w:r>
          <w:r>
            <w:t>45</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_Toc12078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3.3事故类型、可能危害及向环境转移途径</w:t>
          </w:r>
          <w:r>
            <w:tab/>
          </w:r>
          <w:r>
            <w:fldChar w:fldCharType="begin"/>
          </w:r>
          <w:r>
            <w:instrText xml:space="preserve"> PAGEREF _Toc12078 </w:instrText>
          </w:r>
          <w:r>
            <w:fldChar w:fldCharType="separate"/>
          </w:r>
          <w:r>
            <w:t>45</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_Toc27599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3.4自然条件危险、有害因素分析</w:t>
          </w:r>
          <w:r>
            <w:tab/>
          </w:r>
          <w:r>
            <w:fldChar w:fldCharType="begin"/>
          </w:r>
          <w:r>
            <w:instrText xml:space="preserve"> PAGEREF _Toc27599 </w:instrText>
          </w:r>
          <w:r>
            <w:fldChar w:fldCharType="separate"/>
          </w:r>
          <w:r>
            <w:t>46</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_Toc19643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3.5环境应急能力评估</w:t>
          </w:r>
          <w:r>
            <w:tab/>
          </w:r>
          <w:r>
            <w:fldChar w:fldCharType="begin"/>
          </w:r>
          <w:r>
            <w:instrText xml:space="preserve"> PAGEREF _Toc19643 </w:instrText>
          </w:r>
          <w:r>
            <w:fldChar w:fldCharType="separate"/>
          </w:r>
          <w:r>
            <w:t>46</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_Toc6907 </w:instrText>
          </w:r>
          <w:r>
            <w:rPr>
              <w:rFonts w:eastAsia="仿宋" w:cs="Times New Roman"/>
              <w:bCs/>
              <w:lang w:val="zh-CN"/>
            </w:rPr>
            <w:fldChar w:fldCharType="separate"/>
          </w:r>
          <w:r>
            <w:rPr>
              <w:rFonts w:hint="eastAsia" w:ascii="Times New Roman" w:hAnsi="Times New Roman" w:eastAsia="仿宋_GB2312" w:cs="Times New Roman"/>
              <w:kern w:val="2"/>
              <w:szCs w:val="24"/>
              <w:lang w:val="zh-CN" w:eastAsia="zh-CN" w:bidi="ar-SA"/>
            </w:rPr>
            <w:t>3.5.1 现有应急能力</w:t>
          </w:r>
          <w:r>
            <w:tab/>
          </w:r>
          <w:r>
            <w:fldChar w:fldCharType="begin"/>
          </w:r>
          <w:r>
            <w:instrText xml:space="preserve"> PAGEREF _Toc6907 </w:instrText>
          </w:r>
          <w:r>
            <w:fldChar w:fldCharType="separate"/>
          </w:r>
          <w:r>
            <w:t>46</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_Toc31968 </w:instrText>
          </w:r>
          <w:r>
            <w:rPr>
              <w:rFonts w:eastAsia="仿宋" w:cs="Times New Roman"/>
              <w:bCs/>
              <w:lang w:val="zh-CN"/>
            </w:rPr>
            <w:fldChar w:fldCharType="separate"/>
          </w:r>
          <w:r>
            <w:rPr>
              <w:rFonts w:hint="eastAsia" w:ascii="Times New Roman" w:hAnsi="Times New Roman" w:eastAsia="仿宋_GB2312" w:cs="Times New Roman"/>
              <w:kern w:val="2"/>
              <w:szCs w:val="24"/>
              <w:lang w:val="zh-CN" w:eastAsia="zh-CN" w:bidi="ar-SA"/>
            </w:rPr>
            <w:t>3.5.2 现有应急能力评估</w:t>
          </w:r>
          <w:r>
            <w:tab/>
          </w:r>
          <w:r>
            <w:fldChar w:fldCharType="begin"/>
          </w:r>
          <w:r>
            <w:instrText xml:space="preserve"> PAGEREF _Toc31968 </w:instrText>
          </w:r>
          <w:r>
            <w:fldChar w:fldCharType="separate"/>
          </w:r>
          <w:r>
            <w:t>54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_Toc21046 </w:instrText>
          </w:r>
          <w:r>
            <w:rPr>
              <w:rFonts w:eastAsia="仿宋" w:cs="Times New Roman"/>
              <w:bCs/>
              <w:lang w:val="zh-CN"/>
            </w:rPr>
            <w:fldChar w:fldCharType="separate"/>
          </w:r>
          <w:r>
            <w:rPr>
              <w:rFonts w:hint="eastAsia" w:ascii="Times New Roman" w:hAnsi="Times New Roman" w:eastAsia="仿宋_GB2312" w:cs="Times New Roman"/>
              <w:kern w:val="2"/>
              <w:szCs w:val="24"/>
              <w:lang w:val="zh-CN" w:eastAsia="zh-CN" w:bidi="ar-SA"/>
            </w:rPr>
            <w:t>3.5.3 应急能力完善措施</w:t>
          </w:r>
          <w:r>
            <w:tab/>
          </w:r>
          <w:r>
            <w:fldChar w:fldCharType="begin"/>
          </w:r>
          <w:r>
            <w:instrText xml:space="preserve"> PAGEREF _Toc21046 </w:instrText>
          </w:r>
          <w:r>
            <w:fldChar w:fldCharType="separate"/>
          </w:r>
          <w:r>
            <w:t>54</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_Toc32338 </w:instrText>
          </w:r>
          <w:r>
            <w:rPr>
              <w:rFonts w:eastAsia="仿宋" w:cs="Times New Roman"/>
              <w:bCs/>
              <w:lang w:val="zh-CN"/>
            </w:rPr>
            <w:fldChar w:fldCharType="separate"/>
          </w:r>
          <w:r>
            <w:rPr>
              <w:rFonts w:hint="eastAsia" w:ascii="Times New Roman" w:hAnsi="Times New Roman" w:eastAsia="黑体" w:cs="Times New Roman"/>
              <w:kern w:val="44"/>
              <w:szCs w:val="32"/>
              <w:lang w:val="en-US" w:eastAsia="zh-CN" w:bidi="ar-SA"/>
            </w:rPr>
            <w:t>第四章 组织机构与职责</w:t>
          </w:r>
          <w:r>
            <w:tab/>
          </w:r>
          <w:r>
            <w:fldChar w:fldCharType="begin"/>
          </w:r>
          <w:r>
            <w:instrText xml:space="preserve"> PAGEREF _Toc32338 </w:instrText>
          </w:r>
          <w:r>
            <w:fldChar w:fldCharType="separate"/>
          </w:r>
          <w:r>
            <w:t>56</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_Toc24080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4.1</w:t>
          </w:r>
          <w:r>
            <w:rPr>
              <w:rFonts w:hint="eastAsia" w:ascii="Times New Roman" w:hAnsi="Times New Roman" w:eastAsia="黑体" w:cs="Times New Roman"/>
              <w:kern w:val="2"/>
              <w:szCs w:val="28"/>
              <w:lang w:val="zh-CN" w:eastAsia="zh-CN" w:bidi="ar-SA"/>
            </w:rPr>
            <w:t>组织体系</w:t>
          </w:r>
          <w:r>
            <w:tab/>
          </w:r>
          <w:r>
            <w:fldChar w:fldCharType="begin"/>
          </w:r>
          <w:r>
            <w:instrText xml:space="preserve"> PAGEREF _Toc24080 </w:instrText>
          </w:r>
          <w:r>
            <w:fldChar w:fldCharType="separate"/>
          </w:r>
          <w:r>
            <w:t>56</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_Toc6482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4.2指挥机构组成及职责</w:t>
          </w:r>
          <w:r>
            <w:tab/>
          </w:r>
          <w:r>
            <w:fldChar w:fldCharType="begin"/>
          </w:r>
          <w:r>
            <w:instrText xml:space="preserve"> PAGEREF _Toc6482 </w:instrText>
          </w:r>
          <w:r>
            <w:fldChar w:fldCharType="separate"/>
          </w:r>
          <w:r>
            <w:t>56</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_Toc1038 </w:instrText>
          </w:r>
          <w:r>
            <w:rPr>
              <w:rFonts w:eastAsia="仿宋" w:cs="Times New Roman"/>
              <w:bCs/>
              <w:lang w:val="zh-CN"/>
            </w:rPr>
            <w:fldChar w:fldCharType="separate"/>
          </w:r>
          <w:r>
            <w:rPr>
              <w:rFonts w:hint="eastAsia" w:ascii="Times New Roman" w:hAnsi="Times New Roman" w:eastAsia="仿宋_GB2312" w:cs="Times New Roman"/>
              <w:kern w:val="2"/>
              <w:szCs w:val="24"/>
              <w:lang w:val="zh-CN" w:eastAsia="zh-CN" w:bidi="ar-SA"/>
            </w:rPr>
            <w:t>4.2.1 指挥机构组成</w:t>
          </w:r>
          <w:r>
            <w:tab/>
          </w:r>
          <w:r>
            <w:fldChar w:fldCharType="begin"/>
          </w:r>
          <w:r>
            <w:instrText xml:space="preserve"> PAGEREF _Toc1038 </w:instrText>
          </w:r>
          <w:r>
            <w:fldChar w:fldCharType="separate"/>
          </w:r>
          <w:r>
            <w:t>56</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_Toc10885 </w:instrText>
          </w:r>
          <w:r>
            <w:rPr>
              <w:rFonts w:eastAsia="仿宋" w:cs="Times New Roman"/>
              <w:bCs/>
              <w:lang w:val="zh-CN"/>
            </w:rPr>
            <w:fldChar w:fldCharType="separate"/>
          </w:r>
          <w:r>
            <w:rPr>
              <w:rFonts w:hint="eastAsia" w:ascii="Times New Roman" w:hAnsi="Times New Roman" w:eastAsia="仿宋_GB2312" w:cs="Times New Roman"/>
              <w:kern w:val="2"/>
              <w:szCs w:val="24"/>
              <w:lang w:val="zh-CN" w:eastAsia="zh-CN" w:bidi="ar-SA"/>
            </w:rPr>
            <w:t>4.2.2 指挥机构分工和主要职责</w:t>
          </w:r>
          <w:r>
            <w:tab/>
          </w:r>
          <w:r>
            <w:fldChar w:fldCharType="begin"/>
          </w:r>
          <w:r>
            <w:instrText xml:space="preserve"> PAGEREF _Toc10885 </w:instrText>
          </w:r>
          <w:r>
            <w:fldChar w:fldCharType="separate"/>
          </w:r>
          <w:r>
            <w:t>57</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_Toc3722 </w:instrText>
          </w:r>
          <w:r>
            <w:rPr>
              <w:rFonts w:eastAsia="仿宋" w:cs="Times New Roman"/>
              <w:bCs/>
              <w:lang w:val="zh-CN"/>
            </w:rPr>
            <w:fldChar w:fldCharType="separate"/>
          </w:r>
          <w:r>
            <w:rPr>
              <w:rFonts w:hint="eastAsia" w:eastAsia="黑体" w:cs="Times New Roman"/>
              <w:kern w:val="44"/>
              <w:szCs w:val="32"/>
              <w:lang w:val="en-US" w:eastAsia="zh-CN" w:bidi="ar-SA"/>
            </w:rPr>
            <w:t xml:space="preserve">第五章  </w:t>
          </w:r>
          <w:r>
            <w:rPr>
              <w:rFonts w:hint="default" w:ascii="Times New Roman" w:hAnsi="Times New Roman" w:eastAsia="黑体" w:cs="Times New Roman"/>
              <w:kern w:val="44"/>
              <w:szCs w:val="32"/>
              <w:lang w:val="en-US" w:eastAsia="zh-CN" w:bidi="ar-SA"/>
            </w:rPr>
            <w:t>土壤及地下水污染预防与预警</w:t>
          </w:r>
          <w:r>
            <w:tab/>
          </w:r>
          <w:r>
            <w:fldChar w:fldCharType="begin"/>
          </w:r>
          <w:r>
            <w:instrText xml:space="preserve"> PAGEREF _Toc3722 </w:instrText>
          </w:r>
          <w:r>
            <w:fldChar w:fldCharType="separate"/>
          </w:r>
          <w:r>
            <w:t>62</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_Toc31209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5.1预防措施</w:t>
          </w:r>
          <w:r>
            <w:tab/>
          </w:r>
          <w:r>
            <w:fldChar w:fldCharType="begin"/>
          </w:r>
          <w:r>
            <w:instrText xml:space="preserve"> PAGEREF _Toc31209 </w:instrText>
          </w:r>
          <w:r>
            <w:fldChar w:fldCharType="separate"/>
          </w:r>
          <w:r>
            <w:t>62</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_Toc22645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5.1.1土壤</w:t>
          </w:r>
          <w:r>
            <w:rPr>
              <w:rFonts w:hint="eastAsia" w:eastAsia="仿宋_GB2312" w:cs="Times New Roman"/>
              <w:kern w:val="2"/>
              <w:szCs w:val="24"/>
              <w:lang w:val="en-US" w:eastAsia="zh-CN" w:bidi="ar-SA"/>
            </w:rPr>
            <w:t>及地下水</w:t>
          </w:r>
          <w:r>
            <w:rPr>
              <w:rFonts w:hint="eastAsia" w:ascii="Times New Roman" w:hAnsi="Times New Roman" w:eastAsia="仿宋_GB2312" w:cs="Times New Roman"/>
              <w:kern w:val="2"/>
              <w:szCs w:val="24"/>
              <w:lang w:val="en-US" w:eastAsia="zh-CN" w:bidi="ar-SA"/>
            </w:rPr>
            <w:t>环境污染风险源监控</w:t>
          </w:r>
          <w:r>
            <w:tab/>
          </w:r>
          <w:r>
            <w:fldChar w:fldCharType="begin"/>
          </w:r>
          <w:r>
            <w:instrText xml:space="preserve"> PAGEREF _Toc22645 </w:instrText>
          </w:r>
          <w:r>
            <w:fldChar w:fldCharType="separate"/>
          </w:r>
          <w:r>
            <w:t>62</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_Toc26119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5.1.2预防措施</w:t>
          </w:r>
          <w:r>
            <w:tab/>
          </w:r>
          <w:r>
            <w:fldChar w:fldCharType="begin"/>
          </w:r>
          <w:r>
            <w:instrText xml:space="preserve"> PAGEREF _Toc26119 </w:instrText>
          </w:r>
          <w:r>
            <w:fldChar w:fldCharType="separate"/>
          </w:r>
          <w:r>
            <w:t>62</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_Toc24611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5.2</w:t>
          </w:r>
          <w:r>
            <w:rPr>
              <w:rFonts w:hint="eastAsia" w:ascii="Times New Roman" w:hAnsi="Times New Roman" w:eastAsia="黑体" w:cs="Times New Roman"/>
              <w:kern w:val="2"/>
              <w:szCs w:val="28"/>
              <w:lang w:val="zh-CN" w:eastAsia="zh-CN" w:bidi="ar-SA"/>
            </w:rPr>
            <w:t>预警行动</w:t>
          </w:r>
          <w:r>
            <w:tab/>
          </w:r>
          <w:r>
            <w:fldChar w:fldCharType="begin"/>
          </w:r>
          <w:r>
            <w:instrText xml:space="preserve"> PAGEREF _Toc24611 </w:instrText>
          </w:r>
          <w:r>
            <w:fldChar w:fldCharType="separate"/>
          </w:r>
          <w:r>
            <w:t>63</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_Toc28170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5.2.1</w:t>
          </w:r>
          <w:r>
            <w:rPr>
              <w:rFonts w:hint="eastAsia" w:ascii="Times New Roman" w:hAnsi="Times New Roman" w:eastAsia="仿宋_GB2312" w:cs="Times New Roman"/>
              <w:kern w:val="2"/>
              <w:szCs w:val="24"/>
              <w:lang w:val="zh-CN" w:eastAsia="zh-CN" w:bidi="ar-SA"/>
            </w:rPr>
            <w:t>发布预警条件</w:t>
          </w:r>
          <w:r>
            <w:tab/>
          </w:r>
          <w:r>
            <w:fldChar w:fldCharType="begin"/>
          </w:r>
          <w:r>
            <w:instrText xml:space="preserve"> PAGEREF _Toc28170 </w:instrText>
          </w:r>
          <w:r>
            <w:fldChar w:fldCharType="separate"/>
          </w:r>
          <w:r>
            <w:t>63</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_Toc24976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5.2.2</w:t>
          </w:r>
          <w:r>
            <w:rPr>
              <w:rFonts w:hint="eastAsia" w:ascii="Times New Roman" w:hAnsi="Times New Roman" w:eastAsia="仿宋_GB2312" w:cs="Times New Roman"/>
              <w:kern w:val="2"/>
              <w:szCs w:val="24"/>
              <w:lang w:val="zh-CN" w:eastAsia="zh-CN" w:bidi="ar-SA"/>
            </w:rPr>
            <w:t>发布预警方式、方法</w:t>
          </w:r>
          <w:r>
            <w:tab/>
          </w:r>
          <w:r>
            <w:fldChar w:fldCharType="begin"/>
          </w:r>
          <w:r>
            <w:instrText xml:space="preserve"> PAGEREF _Toc24976 </w:instrText>
          </w:r>
          <w:r>
            <w:fldChar w:fldCharType="separate"/>
          </w:r>
          <w:r>
            <w:t>64</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_Toc14713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5.3</w:t>
          </w:r>
          <w:r>
            <w:rPr>
              <w:rFonts w:hint="eastAsia" w:ascii="Times New Roman" w:hAnsi="Times New Roman" w:eastAsia="黑体" w:cs="Times New Roman"/>
              <w:kern w:val="2"/>
              <w:szCs w:val="28"/>
              <w:lang w:val="zh-CN" w:eastAsia="zh-CN" w:bidi="ar-SA"/>
            </w:rPr>
            <w:t>报警、通讯联络方式</w:t>
          </w:r>
          <w:r>
            <w:tab/>
          </w:r>
          <w:r>
            <w:fldChar w:fldCharType="begin"/>
          </w:r>
          <w:r>
            <w:instrText xml:space="preserve"> PAGEREF _Toc14713 </w:instrText>
          </w:r>
          <w:r>
            <w:fldChar w:fldCharType="separate"/>
          </w:r>
          <w:r>
            <w:t>64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_Toc15298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5.3.1</w:t>
          </w:r>
          <w:r>
            <w:rPr>
              <w:rFonts w:hint="eastAsia" w:eastAsia="仿宋_GB2312" w:cs="Times New Roman"/>
              <w:kern w:val="2"/>
              <w:szCs w:val="24"/>
              <w:lang w:val="en-US" w:eastAsia="zh-CN" w:bidi="ar-SA"/>
            </w:rPr>
            <w:t xml:space="preserve"> </w:t>
          </w:r>
          <w:r>
            <w:rPr>
              <w:rFonts w:hint="eastAsia" w:ascii="Times New Roman" w:hAnsi="Times New Roman" w:eastAsia="仿宋_GB2312" w:cs="Times New Roman"/>
              <w:kern w:val="2"/>
              <w:szCs w:val="24"/>
              <w:lang w:val="zh-CN" w:eastAsia="zh-CN" w:bidi="ar-SA"/>
            </w:rPr>
            <w:t xml:space="preserve"> 24小时有效报警装置</w:t>
          </w:r>
          <w:r>
            <w:tab/>
          </w:r>
          <w:r>
            <w:fldChar w:fldCharType="begin"/>
          </w:r>
          <w:r>
            <w:instrText xml:space="preserve"> PAGEREF _Toc15298 </w:instrText>
          </w:r>
          <w:r>
            <w:fldChar w:fldCharType="separate"/>
          </w:r>
          <w:r>
            <w:t>64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_Toc29323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5.3.2</w:t>
          </w:r>
          <w:r>
            <w:rPr>
              <w:rFonts w:hint="eastAsia" w:ascii="Times New Roman" w:hAnsi="Times New Roman" w:eastAsia="仿宋_GB2312" w:cs="Times New Roman"/>
              <w:kern w:val="2"/>
              <w:szCs w:val="24"/>
              <w:lang w:val="zh-CN" w:eastAsia="zh-CN" w:bidi="ar-SA"/>
            </w:rPr>
            <w:t xml:space="preserve"> </w:t>
          </w:r>
          <w:r>
            <w:rPr>
              <w:rFonts w:hint="eastAsia" w:eastAsia="仿宋_GB2312" w:cs="Times New Roman"/>
              <w:kern w:val="2"/>
              <w:szCs w:val="24"/>
              <w:lang w:val="en-US" w:eastAsia="zh-CN" w:bidi="ar-SA"/>
            </w:rPr>
            <w:t xml:space="preserve"> </w:t>
          </w:r>
          <w:r>
            <w:rPr>
              <w:rFonts w:hint="eastAsia" w:ascii="Times New Roman" w:hAnsi="Times New Roman" w:eastAsia="仿宋_GB2312" w:cs="Times New Roman"/>
              <w:kern w:val="2"/>
              <w:szCs w:val="24"/>
              <w:lang w:val="zh-CN" w:eastAsia="zh-CN" w:bidi="ar-SA"/>
            </w:rPr>
            <w:t>24小时通讯联络方式</w:t>
          </w:r>
          <w:r>
            <w:tab/>
          </w:r>
          <w:r>
            <w:fldChar w:fldCharType="begin"/>
          </w:r>
          <w:r>
            <w:instrText xml:space="preserve"> PAGEREF _Toc29323 </w:instrText>
          </w:r>
          <w:r>
            <w:fldChar w:fldCharType="separate"/>
          </w:r>
          <w:r>
            <w:t>65</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_Toc16941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5.3.3</w:t>
          </w:r>
          <w:r>
            <w:rPr>
              <w:rFonts w:hint="eastAsia" w:ascii="Times New Roman" w:hAnsi="Times New Roman" w:eastAsia="仿宋_GB2312" w:cs="Times New Roman"/>
              <w:kern w:val="2"/>
              <w:szCs w:val="24"/>
              <w:lang w:val="zh-CN" w:eastAsia="zh-CN" w:bidi="ar-SA"/>
            </w:rPr>
            <w:t xml:space="preserve"> </w:t>
          </w:r>
          <w:r>
            <w:rPr>
              <w:rFonts w:hint="eastAsia" w:eastAsia="仿宋_GB2312" w:cs="Times New Roman"/>
              <w:kern w:val="2"/>
              <w:szCs w:val="24"/>
              <w:lang w:val="en-US" w:eastAsia="zh-CN" w:bidi="ar-SA"/>
            </w:rPr>
            <w:t xml:space="preserve"> </w:t>
          </w:r>
          <w:r>
            <w:rPr>
              <w:rFonts w:hint="eastAsia" w:ascii="Times New Roman" w:hAnsi="Times New Roman" w:eastAsia="仿宋_GB2312" w:cs="Times New Roman"/>
              <w:kern w:val="2"/>
              <w:szCs w:val="24"/>
              <w:lang w:val="zh-CN" w:eastAsia="zh-CN" w:bidi="ar-SA"/>
            </w:rPr>
            <w:t>24小时有效的内部、外部通讯联络手段</w:t>
          </w:r>
          <w:r>
            <w:tab/>
          </w:r>
          <w:r>
            <w:fldChar w:fldCharType="begin"/>
          </w:r>
          <w:r>
            <w:instrText xml:space="preserve"> PAGEREF _Toc16941 </w:instrText>
          </w:r>
          <w:r>
            <w:fldChar w:fldCharType="separate"/>
          </w:r>
          <w:r>
            <w:t>65</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_Toc12418 </w:instrText>
          </w:r>
          <w:r>
            <w:rPr>
              <w:rFonts w:eastAsia="仿宋" w:cs="Times New Roman"/>
              <w:bCs/>
              <w:lang w:val="zh-CN"/>
            </w:rPr>
            <w:fldChar w:fldCharType="separate"/>
          </w:r>
          <w:r>
            <w:rPr>
              <w:rFonts w:hint="default" w:ascii="Times New Roman" w:hAnsi="Times New Roman" w:eastAsia="黑体" w:cs="Times New Roman"/>
              <w:kern w:val="44"/>
              <w:szCs w:val="32"/>
              <w:lang w:val="en-US" w:bidi="ar-SA"/>
            </w:rPr>
            <w:t>第六章 信息报告与通报</w:t>
          </w:r>
          <w:r>
            <w:tab/>
          </w:r>
          <w:r>
            <w:fldChar w:fldCharType="begin"/>
          </w:r>
          <w:r>
            <w:instrText xml:space="preserve"> PAGEREF _Toc12418 </w:instrText>
          </w:r>
          <w:r>
            <w:fldChar w:fldCharType="separate"/>
          </w:r>
          <w:r>
            <w:t>67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_Toc25157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6.1</w:t>
          </w:r>
          <w:r>
            <w:rPr>
              <w:rFonts w:hint="eastAsia" w:ascii="Times New Roman" w:hAnsi="Times New Roman" w:eastAsia="黑体" w:cs="Times New Roman"/>
              <w:kern w:val="2"/>
              <w:szCs w:val="28"/>
              <w:lang w:val="zh-CN" w:eastAsia="zh-CN" w:bidi="ar-SA"/>
            </w:rPr>
            <w:t>内部报告</w:t>
          </w:r>
          <w:r>
            <w:tab/>
          </w:r>
          <w:r>
            <w:fldChar w:fldCharType="begin"/>
          </w:r>
          <w:r>
            <w:instrText xml:space="preserve"> PAGEREF _Toc25157 </w:instrText>
          </w:r>
          <w:r>
            <w:fldChar w:fldCharType="separate"/>
          </w:r>
          <w:r>
            <w:t>67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_Toc22888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6.2</w:t>
          </w:r>
          <w:r>
            <w:rPr>
              <w:rFonts w:hint="eastAsia" w:ascii="Times New Roman" w:hAnsi="Times New Roman" w:eastAsia="黑体" w:cs="Times New Roman"/>
              <w:kern w:val="2"/>
              <w:szCs w:val="28"/>
              <w:lang w:val="zh-CN" w:eastAsia="zh-CN" w:bidi="ar-SA"/>
            </w:rPr>
            <w:t>信息上报</w:t>
          </w:r>
          <w:r>
            <w:tab/>
          </w:r>
          <w:r>
            <w:fldChar w:fldCharType="begin"/>
          </w:r>
          <w:r>
            <w:instrText xml:space="preserve"> PAGEREF _Toc22888 </w:instrText>
          </w:r>
          <w:r>
            <w:fldChar w:fldCharType="separate"/>
          </w:r>
          <w:r>
            <w:t>67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_Toc1703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6.3</w:t>
          </w:r>
          <w:r>
            <w:rPr>
              <w:rFonts w:hint="eastAsia" w:ascii="Times New Roman" w:hAnsi="Times New Roman" w:eastAsia="黑体" w:cs="Times New Roman"/>
              <w:kern w:val="2"/>
              <w:szCs w:val="28"/>
              <w:lang w:val="zh-CN" w:eastAsia="zh-CN" w:bidi="ar-SA"/>
            </w:rPr>
            <w:t>信息通报</w:t>
          </w:r>
          <w:r>
            <w:tab/>
          </w:r>
          <w:r>
            <w:fldChar w:fldCharType="begin"/>
          </w:r>
          <w:r>
            <w:instrText xml:space="preserve"> PAGEREF _Toc1703 </w:instrText>
          </w:r>
          <w:r>
            <w:fldChar w:fldCharType="separate"/>
          </w:r>
          <w:r>
            <w:t>68</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_Toc24353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6.4</w:t>
          </w:r>
          <w:r>
            <w:rPr>
              <w:rFonts w:hint="eastAsia" w:ascii="Times New Roman" w:hAnsi="Times New Roman" w:eastAsia="黑体" w:cs="Times New Roman"/>
              <w:kern w:val="2"/>
              <w:szCs w:val="28"/>
              <w:lang w:val="zh-CN" w:eastAsia="zh-CN" w:bidi="ar-SA"/>
            </w:rPr>
            <w:t>事件报告内容</w:t>
          </w:r>
          <w:r>
            <w:tab/>
          </w:r>
          <w:r>
            <w:fldChar w:fldCharType="begin"/>
          </w:r>
          <w:r>
            <w:instrText xml:space="preserve"> PAGEREF _Toc24353 </w:instrText>
          </w:r>
          <w:r>
            <w:fldChar w:fldCharType="separate"/>
          </w:r>
          <w:r>
            <w:t>68</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_Toc11390 </w:instrText>
          </w:r>
          <w:r>
            <w:rPr>
              <w:rFonts w:eastAsia="仿宋" w:cs="Times New Roman"/>
              <w:bCs/>
              <w:lang w:val="zh-CN"/>
            </w:rPr>
            <w:fldChar w:fldCharType="separate"/>
          </w:r>
          <w:r>
            <w:rPr>
              <w:rFonts w:hint="default" w:ascii="Times New Roman" w:hAnsi="Times New Roman" w:eastAsia="黑体" w:cs="Times New Roman"/>
              <w:kern w:val="44"/>
              <w:szCs w:val="32"/>
              <w:lang w:val="en-US" w:bidi="ar-SA"/>
            </w:rPr>
            <w:t>第七章 应急响应与措施</w:t>
          </w:r>
          <w:r>
            <w:tab/>
          </w:r>
          <w:r>
            <w:fldChar w:fldCharType="begin"/>
          </w:r>
          <w:r>
            <w:instrText xml:space="preserve"> PAGEREF _Toc11390 </w:instrText>
          </w:r>
          <w:r>
            <w:fldChar w:fldCharType="separate"/>
          </w:r>
          <w:r>
            <w:t>69</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_Toc6584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7.1分级响应机制</w:t>
          </w:r>
          <w:r>
            <w:tab/>
          </w:r>
          <w:r>
            <w:fldChar w:fldCharType="begin"/>
          </w:r>
          <w:r>
            <w:instrText xml:space="preserve"> PAGEREF _Toc6584 </w:instrText>
          </w:r>
          <w:r>
            <w:fldChar w:fldCharType="separate"/>
          </w:r>
          <w:r>
            <w:t>69</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_Toc1290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7.2应急措施</w:t>
          </w:r>
          <w:r>
            <w:tab/>
          </w:r>
          <w:r>
            <w:fldChar w:fldCharType="begin"/>
          </w:r>
          <w:r>
            <w:instrText xml:space="preserve"> PAGEREF _Toc1290 </w:instrText>
          </w:r>
          <w:r>
            <w:fldChar w:fldCharType="separate"/>
          </w:r>
          <w:r>
            <w:t>70</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_Toc20802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7.2.1突发土壤环境污染和地下水环境污染事件现场应急措施</w:t>
          </w:r>
          <w:r>
            <w:tab/>
          </w:r>
          <w:r>
            <w:fldChar w:fldCharType="begin"/>
          </w:r>
          <w:r>
            <w:instrText xml:space="preserve"> PAGEREF _Toc20802 </w:instrText>
          </w:r>
          <w:r>
            <w:fldChar w:fldCharType="separate"/>
          </w:r>
          <w:r>
            <w:t>70</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_Toc3195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7.2.2</w:t>
          </w:r>
          <w:r>
            <w:rPr>
              <w:rFonts w:hint="default" w:ascii="Times New Roman" w:hAnsi="Times New Roman" w:eastAsia="仿宋_GB2312" w:cs="Times New Roman"/>
              <w:kern w:val="2"/>
              <w:szCs w:val="24"/>
              <w:lang w:val="zh-CN" w:eastAsia="zh-CN" w:bidi="ar-SA"/>
            </w:rPr>
            <w:t>水污染事件保护目标的应急措施</w:t>
          </w:r>
          <w:r>
            <w:tab/>
          </w:r>
          <w:r>
            <w:fldChar w:fldCharType="begin"/>
          </w:r>
          <w:r>
            <w:instrText xml:space="preserve"> PAGEREF _Toc3195 </w:instrText>
          </w:r>
          <w:r>
            <w:fldChar w:fldCharType="separate"/>
          </w:r>
          <w:r>
            <w:t>75</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_Toc23519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7.2.3</w:t>
          </w:r>
          <w:r>
            <w:rPr>
              <w:rFonts w:hint="default" w:ascii="Times New Roman" w:hAnsi="Times New Roman" w:eastAsia="仿宋_GB2312" w:cs="Times New Roman"/>
              <w:kern w:val="2"/>
              <w:szCs w:val="24"/>
              <w:lang w:val="zh-CN" w:eastAsia="zh-CN" w:bidi="ar-SA"/>
            </w:rPr>
            <w:t>地下水、土壤污染事件保护目标的应急措施</w:t>
          </w:r>
          <w:r>
            <w:tab/>
          </w:r>
          <w:r>
            <w:fldChar w:fldCharType="begin"/>
          </w:r>
          <w:r>
            <w:instrText xml:space="preserve"> PAGEREF _Toc23519 </w:instrText>
          </w:r>
          <w:r>
            <w:fldChar w:fldCharType="separate"/>
          </w:r>
          <w:r>
            <w:t>77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_Toc2168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7.3</w:t>
          </w:r>
          <w:r>
            <w:rPr>
              <w:rFonts w:hint="default" w:ascii="Times New Roman" w:hAnsi="Times New Roman" w:eastAsia="黑体" w:cs="Times New Roman"/>
              <w:kern w:val="2"/>
              <w:szCs w:val="28"/>
              <w:lang w:val="zh-CN" w:eastAsia="zh-CN" w:bidi="ar-SA"/>
            </w:rPr>
            <w:t>应急监测</w:t>
          </w:r>
          <w:r>
            <w:tab/>
          </w:r>
          <w:r>
            <w:fldChar w:fldCharType="begin"/>
          </w:r>
          <w:r>
            <w:instrText xml:space="preserve"> PAGEREF _Toc2168 </w:instrText>
          </w:r>
          <w:r>
            <w:fldChar w:fldCharType="separate"/>
          </w:r>
          <w:r>
            <w:t>77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_Toc6288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7.4</w:t>
          </w:r>
          <w:r>
            <w:rPr>
              <w:rFonts w:hint="default" w:ascii="Times New Roman" w:hAnsi="Times New Roman" w:eastAsia="黑体" w:cs="Times New Roman"/>
              <w:kern w:val="2"/>
              <w:szCs w:val="28"/>
              <w:lang w:val="zh-CN" w:eastAsia="zh-CN" w:bidi="ar-SA"/>
            </w:rPr>
            <w:t>应急终止</w:t>
          </w:r>
          <w:r>
            <w:tab/>
          </w:r>
          <w:r>
            <w:fldChar w:fldCharType="begin"/>
          </w:r>
          <w:r>
            <w:instrText xml:space="preserve"> PAGEREF _Toc6288 </w:instrText>
          </w:r>
          <w:r>
            <w:fldChar w:fldCharType="separate"/>
          </w:r>
          <w:r>
            <w:t>80</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_Toc13323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7.5</w:t>
          </w:r>
          <w:r>
            <w:rPr>
              <w:rFonts w:hint="default" w:ascii="Times New Roman" w:hAnsi="Times New Roman" w:eastAsia="黑体" w:cs="Times New Roman"/>
              <w:kern w:val="2"/>
              <w:szCs w:val="28"/>
              <w:lang w:val="zh-CN" w:eastAsia="zh-CN" w:bidi="ar-SA"/>
            </w:rPr>
            <w:t>应急终止后的行动</w:t>
          </w:r>
          <w:r>
            <w:tab/>
          </w:r>
          <w:r>
            <w:fldChar w:fldCharType="begin"/>
          </w:r>
          <w:r>
            <w:instrText xml:space="preserve"> PAGEREF _Toc13323 </w:instrText>
          </w:r>
          <w:r>
            <w:fldChar w:fldCharType="separate"/>
          </w:r>
          <w:r>
            <w:t>81</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_Toc5636 </w:instrText>
          </w:r>
          <w:r>
            <w:rPr>
              <w:rFonts w:eastAsia="仿宋" w:cs="Times New Roman"/>
              <w:bCs/>
              <w:lang w:val="zh-CN"/>
            </w:rPr>
            <w:fldChar w:fldCharType="separate"/>
          </w:r>
          <w:r>
            <w:rPr>
              <w:rFonts w:hint="default" w:ascii="Times New Roman" w:hAnsi="Times New Roman" w:eastAsia="黑体" w:cs="Times New Roman"/>
              <w:kern w:val="44"/>
              <w:szCs w:val="32"/>
              <w:lang w:val="en-US" w:bidi="ar-SA"/>
            </w:rPr>
            <w:t>第八章 后期处置</w:t>
          </w:r>
          <w:r>
            <w:tab/>
          </w:r>
          <w:r>
            <w:fldChar w:fldCharType="begin"/>
          </w:r>
          <w:r>
            <w:instrText xml:space="preserve"> PAGEREF _Toc5636 </w:instrText>
          </w:r>
          <w:r>
            <w:fldChar w:fldCharType="separate"/>
          </w:r>
          <w:r>
            <w:t>82</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_Toc19404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8.1善后处置</w:t>
          </w:r>
          <w:r>
            <w:tab/>
          </w:r>
          <w:r>
            <w:fldChar w:fldCharType="begin"/>
          </w:r>
          <w:r>
            <w:instrText xml:space="preserve"> PAGEREF _Toc19404 </w:instrText>
          </w:r>
          <w:r>
            <w:fldChar w:fldCharType="separate"/>
          </w:r>
          <w:r>
            <w:t>82</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_Toc27787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8.2</w:t>
          </w:r>
          <w:r>
            <w:rPr>
              <w:rFonts w:hint="default" w:ascii="Times New Roman" w:hAnsi="Times New Roman" w:eastAsia="黑体" w:cs="Times New Roman"/>
              <w:kern w:val="2"/>
              <w:szCs w:val="28"/>
              <w:lang w:val="en-US" w:bidi="ar-SA"/>
            </w:rPr>
            <w:t>保险</w:t>
          </w:r>
          <w:r>
            <w:tab/>
          </w:r>
          <w:r>
            <w:fldChar w:fldCharType="begin"/>
          </w:r>
          <w:r>
            <w:instrText xml:space="preserve"> PAGEREF _Toc27787 </w:instrText>
          </w:r>
          <w:r>
            <w:fldChar w:fldCharType="separate"/>
          </w:r>
          <w:r>
            <w:t>82</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_Toc1149 </w:instrText>
          </w:r>
          <w:r>
            <w:rPr>
              <w:rFonts w:eastAsia="仿宋" w:cs="Times New Roman"/>
              <w:bCs/>
              <w:lang w:val="zh-CN"/>
            </w:rPr>
            <w:fldChar w:fldCharType="separate"/>
          </w:r>
          <w:r>
            <w:rPr>
              <w:rFonts w:hint="default" w:ascii="Times New Roman" w:hAnsi="Times New Roman" w:eastAsia="黑体" w:cs="Times New Roman"/>
              <w:kern w:val="44"/>
              <w:szCs w:val="32"/>
              <w:lang w:val="en-US" w:bidi="ar-SA"/>
            </w:rPr>
            <w:t>第九章 应急培训和演练</w:t>
          </w:r>
          <w:r>
            <w:tab/>
          </w:r>
          <w:r>
            <w:fldChar w:fldCharType="begin"/>
          </w:r>
          <w:r>
            <w:instrText xml:space="preserve"> PAGEREF _Toc1149 </w:instrText>
          </w:r>
          <w:r>
            <w:fldChar w:fldCharType="separate"/>
          </w:r>
          <w:r>
            <w:t>83</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_Toc19654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9.1 应急培训</w:t>
          </w:r>
          <w:r>
            <w:tab/>
          </w:r>
          <w:r>
            <w:fldChar w:fldCharType="begin"/>
          </w:r>
          <w:r>
            <w:instrText xml:space="preserve"> PAGEREF _Toc19654 </w:instrText>
          </w:r>
          <w:r>
            <w:fldChar w:fldCharType="separate"/>
          </w:r>
          <w:r>
            <w:t>83</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_Toc1916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9.2演练</w:t>
          </w:r>
          <w:r>
            <w:tab/>
          </w:r>
          <w:r>
            <w:fldChar w:fldCharType="begin"/>
          </w:r>
          <w:r>
            <w:instrText xml:space="preserve"> PAGEREF _Toc1916 </w:instrText>
          </w:r>
          <w:r>
            <w:fldChar w:fldCharType="separate"/>
          </w:r>
          <w:r>
            <w:t>84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_Toc4314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9.2.1演练</w:t>
          </w:r>
          <w:r>
            <w:rPr>
              <w:rFonts w:hint="eastAsia" w:eastAsia="仿宋_GB2312" w:cs="Times New Roman"/>
              <w:kern w:val="2"/>
              <w:szCs w:val="24"/>
              <w:lang w:val="en-US" w:eastAsia="zh-CN" w:bidi="ar-SA"/>
            </w:rPr>
            <w:t>准备</w:t>
          </w:r>
          <w:r>
            <w:tab/>
          </w:r>
          <w:r>
            <w:fldChar w:fldCharType="begin"/>
          </w:r>
          <w:r>
            <w:instrText xml:space="preserve"> PAGEREF _Toc4314 </w:instrText>
          </w:r>
          <w:r>
            <w:fldChar w:fldCharType="separate"/>
          </w:r>
          <w:r>
            <w:t>84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_Toc11179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9.2.2演练范围与频次</w:t>
          </w:r>
          <w:r>
            <w:tab/>
          </w:r>
          <w:r>
            <w:fldChar w:fldCharType="begin"/>
          </w:r>
          <w:r>
            <w:instrText xml:space="preserve"> PAGEREF _Toc11179 </w:instrText>
          </w:r>
          <w:r>
            <w:fldChar w:fldCharType="separate"/>
          </w:r>
          <w:r>
            <w:t>84</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_Toc19498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9.2.3</w:t>
          </w:r>
          <w:r>
            <w:rPr>
              <w:rFonts w:hint="eastAsia" w:eastAsia="仿宋_GB2312" w:cs="Times New Roman"/>
              <w:kern w:val="2"/>
              <w:szCs w:val="24"/>
              <w:lang w:val="en-US" w:eastAsia="zh-CN" w:bidi="ar-SA"/>
            </w:rPr>
            <w:t>应急演练回顾与改进回顾与改进</w:t>
          </w:r>
          <w:r>
            <w:tab/>
          </w:r>
          <w:r>
            <w:fldChar w:fldCharType="begin"/>
          </w:r>
          <w:r>
            <w:instrText xml:space="preserve"> PAGEREF _Toc19498 </w:instrText>
          </w:r>
          <w:r>
            <w:fldChar w:fldCharType="separate"/>
          </w:r>
          <w:r>
            <w:t>85</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_Toc5828 </w:instrText>
          </w:r>
          <w:r>
            <w:rPr>
              <w:rFonts w:eastAsia="仿宋" w:cs="Times New Roman"/>
              <w:bCs/>
              <w:lang w:val="zh-CN"/>
            </w:rPr>
            <w:fldChar w:fldCharType="separate"/>
          </w:r>
          <w:r>
            <w:rPr>
              <w:rFonts w:hint="default" w:ascii="Times New Roman" w:hAnsi="Times New Roman" w:eastAsia="黑体" w:cs="Times New Roman"/>
              <w:kern w:val="44"/>
              <w:szCs w:val="32"/>
              <w:lang w:val="en-US" w:bidi="ar-SA"/>
            </w:rPr>
            <w:t>第十章</w:t>
          </w:r>
          <w:r>
            <w:rPr>
              <w:rFonts w:hint="default" w:ascii="Times New Roman" w:hAnsi="Times New Roman" w:eastAsia="黑体" w:cs="Times New Roman"/>
              <w:kern w:val="44"/>
              <w:szCs w:val="32"/>
              <w:lang w:val="en-US" w:eastAsia="zh-CN" w:bidi="ar-SA"/>
            </w:rPr>
            <w:t xml:space="preserve"> </w:t>
          </w:r>
          <w:r>
            <w:rPr>
              <w:rFonts w:hint="default" w:ascii="Times New Roman" w:hAnsi="Times New Roman" w:eastAsia="黑体" w:cs="Times New Roman"/>
              <w:kern w:val="44"/>
              <w:szCs w:val="32"/>
              <w:lang w:val="en-US" w:bidi="ar-SA"/>
            </w:rPr>
            <w:t>奖惩</w:t>
          </w:r>
          <w:r>
            <w:tab/>
          </w:r>
          <w:r>
            <w:fldChar w:fldCharType="begin"/>
          </w:r>
          <w:r>
            <w:instrText xml:space="preserve"> PAGEREF _Toc5828 </w:instrText>
          </w:r>
          <w:r>
            <w:fldChar w:fldCharType="separate"/>
          </w:r>
          <w:r>
            <w:t>86</w:t>
          </w:r>
          <w:r>
            <w:fldChar w:fldCharType="end"/>
          </w:r>
          <w:r>
            <w:rPr>
              <w:rFonts w:eastAsia="仿宋" w:cs="Times New Roman"/>
              <w:bCs/>
              <w:lang w:val="zh-CN"/>
            </w:rPr>
            <w:fldChar w:fldCharType="end"/>
          </w:r>
        </w:p>
        <w:p>
          <w:pPr>
            <w:pStyle w:val="25"/>
            <w:tabs>
              <w:tab w:val="right" w:leader="dot" w:pos="9740"/>
              <w:tab w:val="clear" w:pos="8296"/>
            </w:tabs>
          </w:pPr>
          <w:r>
            <w:rPr>
              <w:rFonts w:eastAsia="仿宋" w:cs="Times New Roman"/>
              <w:bCs/>
              <w:lang w:val="zh-CN"/>
            </w:rPr>
            <w:fldChar w:fldCharType="begin"/>
          </w:r>
          <w:r>
            <w:rPr>
              <w:rFonts w:eastAsia="仿宋" w:cs="Times New Roman"/>
              <w:bCs/>
              <w:lang w:val="zh-CN"/>
            </w:rPr>
            <w:instrText xml:space="preserve"> HYPERLINK \l _Toc30178 </w:instrText>
          </w:r>
          <w:r>
            <w:rPr>
              <w:rFonts w:eastAsia="仿宋" w:cs="Times New Roman"/>
              <w:bCs/>
              <w:lang w:val="zh-CN"/>
            </w:rPr>
            <w:fldChar w:fldCharType="separate"/>
          </w:r>
          <w:r>
            <w:rPr>
              <w:rFonts w:hint="default" w:ascii="Times New Roman" w:hAnsi="Times New Roman" w:eastAsia="黑体" w:cs="Times New Roman"/>
              <w:kern w:val="44"/>
              <w:szCs w:val="32"/>
              <w:lang w:val="en-US" w:eastAsia="zh-CN" w:bidi="ar-SA"/>
            </w:rPr>
            <w:t>第十一章 保障措施</w:t>
          </w:r>
          <w:r>
            <w:tab/>
          </w:r>
          <w:r>
            <w:fldChar w:fldCharType="begin"/>
          </w:r>
          <w:r>
            <w:instrText xml:space="preserve"> PAGEREF _Toc30178 </w:instrText>
          </w:r>
          <w:r>
            <w:fldChar w:fldCharType="separate"/>
          </w:r>
          <w:r>
            <w:t>87</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_Toc4664 </w:instrText>
          </w:r>
          <w:r>
            <w:rPr>
              <w:rFonts w:eastAsia="仿宋" w:cs="Times New Roman"/>
              <w:bCs/>
              <w:lang w:val="zh-CN"/>
            </w:rPr>
            <w:fldChar w:fldCharType="separate"/>
          </w:r>
          <w:r>
            <w:rPr>
              <w:rFonts w:hint="default" w:ascii="Times New Roman" w:hAnsi="Times New Roman" w:eastAsia="黑体" w:cs="Times New Roman"/>
              <w:kern w:val="2"/>
              <w:szCs w:val="28"/>
              <w:lang w:val="en-US" w:eastAsia="zh-CN" w:bidi="ar-SA"/>
            </w:rPr>
            <w:t>11.1 内部保障</w:t>
          </w:r>
          <w:r>
            <w:tab/>
          </w:r>
          <w:r>
            <w:fldChar w:fldCharType="begin"/>
          </w:r>
          <w:r>
            <w:instrText xml:space="preserve"> PAGEREF _Toc4664 </w:instrText>
          </w:r>
          <w:r>
            <w:fldChar w:fldCharType="separate"/>
          </w:r>
          <w:r>
            <w:t>87</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_Toc27864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11.1.1</w:t>
          </w:r>
          <w:r>
            <w:rPr>
              <w:rFonts w:hint="eastAsia" w:ascii="Times New Roman" w:hAnsi="Times New Roman" w:eastAsia="仿宋_GB2312" w:cs="Times New Roman"/>
              <w:kern w:val="2"/>
              <w:szCs w:val="24"/>
              <w:lang w:val="en-US" w:eastAsia="zh-CN" w:bidi="ar-SA"/>
            </w:rPr>
            <w:t>应急物资、应急设施保障</w:t>
          </w:r>
          <w:r>
            <w:tab/>
          </w:r>
          <w:r>
            <w:fldChar w:fldCharType="begin"/>
          </w:r>
          <w:r>
            <w:instrText xml:space="preserve"> PAGEREF _Toc27864 </w:instrText>
          </w:r>
          <w:r>
            <w:fldChar w:fldCharType="separate"/>
          </w:r>
          <w:r>
            <w:t>87</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_Toc30721 </w:instrText>
          </w:r>
          <w:r>
            <w:rPr>
              <w:rFonts w:eastAsia="仿宋" w:cs="Times New Roman"/>
              <w:bCs/>
              <w:lang w:val="zh-CN"/>
            </w:rPr>
            <w:fldChar w:fldCharType="separate"/>
          </w:r>
          <w:r>
            <w:rPr>
              <w:rFonts w:hint="default" w:ascii="Times New Roman" w:hAnsi="Times New Roman" w:eastAsia="仿宋_GB2312" w:cs="Times New Roman"/>
              <w:kern w:val="2"/>
              <w:szCs w:val="24"/>
              <w:lang w:val="en-US" w:eastAsia="zh-CN" w:bidi="ar-SA"/>
            </w:rPr>
            <w:t>11.1.2</w:t>
          </w:r>
          <w:r>
            <w:rPr>
              <w:rFonts w:hint="default" w:ascii="Times New Roman" w:hAnsi="Times New Roman" w:eastAsia="仿宋_GB2312" w:cs="Times New Roman"/>
              <w:kern w:val="2"/>
              <w:szCs w:val="24"/>
              <w:lang w:val="zh-CN" w:eastAsia="zh-CN" w:bidi="ar-SA"/>
            </w:rPr>
            <w:t>应急</w:t>
          </w:r>
          <w:r>
            <w:rPr>
              <w:rFonts w:hint="eastAsia" w:eastAsia="仿宋_GB2312" w:cs="Times New Roman"/>
              <w:kern w:val="2"/>
              <w:szCs w:val="24"/>
              <w:lang w:val="zh-CN" w:eastAsia="zh-CN" w:bidi="ar-SA"/>
            </w:rPr>
            <w:t>队伍</w:t>
          </w:r>
          <w:r>
            <w:rPr>
              <w:rFonts w:hint="default" w:ascii="Times New Roman" w:hAnsi="Times New Roman" w:eastAsia="仿宋_GB2312" w:cs="Times New Roman"/>
              <w:kern w:val="2"/>
              <w:szCs w:val="24"/>
              <w:lang w:val="zh-CN" w:eastAsia="zh-CN" w:bidi="ar-SA"/>
            </w:rPr>
            <w:t>保证</w:t>
          </w:r>
          <w:r>
            <w:tab/>
          </w:r>
          <w:r>
            <w:fldChar w:fldCharType="begin"/>
          </w:r>
          <w:r>
            <w:instrText xml:space="preserve"> PAGEREF _Toc30721 </w:instrText>
          </w:r>
          <w:r>
            <w:fldChar w:fldCharType="separate"/>
          </w:r>
          <w:r>
            <w:t>88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_Toc18327 </w:instrText>
          </w:r>
          <w:r>
            <w:rPr>
              <w:rFonts w:eastAsia="仿宋" w:cs="Times New Roman"/>
              <w:bCs/>
              <w:lang w:val="zh-CN"/>
            </w:rPr>
            <w:fldChar w:fldCharType="separate"/>
          </w:r>
          <w:r>
            <w:rPr>
              <w:rFonts w:hint="eastAsia" w:ascii="Times New Roman" w:hAnsi="Times New Roman" w:eastAsia="仿宋_GB2312" w:cs="Times New Roman"/>
              <w:kern w:val="2"/>
              <w:szCs w:val="24"/>
              <w:lang w:val="en-US" w:eastAsia="zh-CN" w:bidi="ar-SA"/>
            </w:rPr>
            <w:t>11.1.3通讯及信息保障</w:t>
          </w:r>
          <w:r>
            <w:tab/>
          </w:r>
          <w:r>
            <w:fldChar w:fldCharType="begin"/>
          </w:r>
          <w:r>
            <w:instrText xml:space="preserve"> PAGEREF _Toc18327 </w:instrText>
          </w:r>
          <w:r>
            <w:fldChar w:fldCharType="separate"/>
          </w:r>
          <w:r>
            <w:t>88</w:t>
          </w:r>
          <w:r>
            <w:fldChar w:fldCharType="end"/>
          </w:r>
          <w:r>
            <w:rPr>
              <w:rFonts w:eastAsia="仿宋" w:cs="Times New Roman"/>
              <w:bCs/>
              <w:lang w:val="zh-CN"/>
            </w:rPr>
            <w:fldChar w:fldCharType="end"/>
          </w:r>
        </w:p>
        <w:p>
          <w:pPr>
            <w:pStyle w:val="19"/>
            <w:tabs>
              <w:tab w:val="right" w:leader="dot" w:pos="9740"/>
            </w:tabs>
          </w:pPr>
          <w:r>
            <w:rPr>
              <w:rFonts w:eastAsia="仿宋" w:cs="Times New Roman"/>
              <w:bCs/>
              <w:lang w:val="zh-CN"/>
            </w:rPr>
            <w:fldChar w:fldCharType="begin"/>
          </w:r>
          <w:r>
            <w:rPr>
              <w:rFonts w:eastAsia="仿宋" w:cs="Times New Roman"/>
              <w:bCs/>
              <w:lang w:val="zh-CN"/>
            </w:rPr>
            <w:instrText xml:space="preserve"> HYPERLINK \l _Toc32533 </w:instrText>
          </w:r>
          <w:r>
            <w:rPr>
              <w:rFonts w:eastAsia="仿宋" w:cs="Times New Roman"/>
              <w:bCs/>
              <w:lang w:val="zh-CN"/>
            </w:rPr>
            <w:fldChar w:fldCharType="separate"/>
          </w:r>
          <w:r>
            <w:rPr>
              <w:rFonts w:hint="eastAsia" w:eastAsia="仿宋_GB2312" w:cs="Times New Roman"/>
              <w:kern w:val="2"/>
              <w:szCs w:val="24"/>
              <w:lang w:val="en-US" w:eastAsia="zh-CN" w:bidi="ar-SA"/>
            </w:rPr>
            <w:t>11.1.4</w:t>
          </w:r>
          <w:r>
            <w:rPr>
              <w:rFonts w:hint="eastAsia" w:ascii="Times New Roman" w:hAnsi="Times New Roman" w:eastAsia="仿宋_GB2312" w:cs="Times New Roman"/>
              <w:kern w:val="2"/>
              <w:szCs w:val="24"/>
              <w:lang w:val="en-US" w:eastAsia="zh-CN" w:bidi="ar-SA"/>
            </w:rPr>
            <w:t>经费及其它保障</w:t>
          </w:r>
          <w:r>
            <w:tab/>
          </w:r>
          <w:r>
            <w:fldChar w:fldCharType="begin"/>
          </w:r>
          <w:r>
            <w:instrText xml:space="preserve"> PAGEREF _Toc32533 </w:instrText>
          </w:r>
          <w:r>
            <w:fldChar w:fldCharType="separate"/>
          </w:r>
          <w:r>
            <w:t>88</w:t>
          </w:r>
          <w:r>
            <w:fldChar w:fldCharType="end"/>
          </w:r>
          <w:r>
            <w:rPr>
              <w:rFonts w:eastAsia="仿宋" w:cs="Times New Roman"/>
              <w:bCs/>
              <w:lang w:val="zh-CN"/>
            </w:rPr>
            <w:fldChar w:fldCharType="end"/>
          </w:r>
        </w:p>
        <w:p>
          <w:pPr>
            <w:pStyle w:val="29"/>
            <w:tabs>
              <w:tab w:val="right" w:leader="dot" w:pos="9740"/>
              <w:tab w:val="clear" w:pos="9730"/>
            </w:tabs>
          </w:pPr>
          <w:r>
            <w:rPr>
              <w:rFonts w:eastAsia="仿宋" w:cs="Times New Roman"/>
              <w:bCs/>
              <w:lang w:val="zh-CN"/>
            </w:rPr>
            <w:fldChar w:fldCharType="begin"/>
          </w:r>
          <w:r>
            <w:rPr>
              <w:rFonts w:eastAsia="仿宋" w:cs="Times New Roman"/>
              <w:bCs/>
              <w:lang w:val="zh-CN"/>
            </w:rPr>
            <w:instrText xml:space="preserve"> HYPERLINK \l _Toc14728 </w:instrText>
          </w:r>
          <w:r>
            <w:rPr>
              <w:rFonts w:eastAsia="仿宋" w:cs="Times New Roman"/>
              <w:bCs/>
              <w:lang w:val="zh-CN"/>
            </w:rPr>
            <w:fldChar w:fldCharType="separate"/>
          </w:r>
          <w:r>
            <w:rPr>
              <w:rFonts w:hint="eastAsia" w:ascii="Times New Roman" w:hAnsi="Times New Roman" w:eastAsia="黑体" w:cs="Times New Roman"/>
              <w:kern w:val="2"/>
              <w:szCs w:val="28"/>
              <w:lang w:val="en-US" w:eastAsia="zh-CN" w:bidi="ar-SA"/>
            </w:rPr>
            <w:t>11.2外部保障</w:t>
          </w:r>
          <w:r>
            <w:tab/>
          </w:r>
          <w:r>
            <w:fldChar w:fldCharType="begin"/>
          </w:r>
          <w:r>
            <w:instrText xml:space="preserve"> PAGEREF _Toc14728 </w:instrText>
          </w:r>
          <w:r>
            <w:fldChar w:fldCharType="separate"/>
          </w:r>
          <w:r>
            <w:t>89</w:t>
          </w:r>
          <w:r>
            <w:fldChar w:fldCharType="end"/>
          </w:r>
          <w:r>
            <w:rPr>
              <w:rFonts w:eastAsia="仿宋" w:cs="Times New Roman"/>
              <w:bCs/>
              <w:lang w:val="zh-CN"/>
            </w:rPr>
            <w:fldChar w:fldCharType="end"/>
          </w:r>
        </w:p>
        <w:p>
          <w:pPr>
            <w:spacing w:line="360" w:lineRule="auto"/>
            <w:rPr>
              <w:rFonts w:eastAsia="仿宋" w:cs="Times New Roman"/>
            </w:rPr>
          </w:pPr>
          <w:r>
            <w:rPr>
              <w:rFonts w:eastAsia="仿宋" w:cs="Times New Roman"/>
              <w:bCs/>
              <w:lang w:val="zh-CN"/>
            </w:rPr>
            <w:fldChar w:fldCharType="end"/>
          </w:r>
        </w:p>
      </w:sdtContent>
    </w:sdt>
    <w:p>
      <w:pPr>
        <w:pStyle w:val="3"/>
        <w:spacing w:before="489" w:beforeLines="150" w:after="326" w:afterLines="100" w:line="360" w:lineRule="auto"/>
        <w:jc w:val="center"/>
        <w:rPr>
          <w:rFonts w:eastAsia="黑体" w:cs="Times New Roman"/>
          <w:b/>
          <w:sz w:val="32"/>
          <w:szCs w:val="32"/>
        </w:rPr>
        <w:sectPr>
          <w:footerReference r:id="rId9" w:type="default"/>
          <w:pgSz w:w="11906" w:h="16838"/>
          <w:pgMar w:top="1440" w:right="1083" w:bottom="1440" w:left="1083" w:header="851" w:footer="397" w:gutter="0"/>
          <w:pgBorders>
            <w:top w:val="none" w:sz="0" w:space="0"/>
            <w:left w:val="none" w:sz="0" w:space="0"/>
            <w:bottom w:val="none" w:sz="0" w:space="0"/>
            <w:right w:val="none" w:sz="0" w:space="0"/>
          </w:pgBorders>
          <w:pgNumType w:fmt="upperRoman"/>
          <w:cols w:space="425" w:num="1"/>
          <w:docGrid w:type="lines" w:linePitch="326" w:charSpace="0"/>
        </w:sectPr>
      </w:pPr>
    </w:p>
    <w:p>
      <w:pPr>
        <w:pStyle w:val="3"/>
        <w:spacing w:before="489" w:beforeLines="150" w:after="326" w:afterLines="100" w:line="360" w:lineRule="auto"/>
        <w:jc w:val="center"/>
        <w:rPr>
          <w:rFonts w:eastAsia="黑体" w:cs="Times New Roman"/>
          <w:b/>
          <w:sz w:val="32"/>
          <w:szCs w:val="32"/>
          <w:lang w:val="en-US"/>
        </w:rPr>
      </w:pPr>
      <w:bookmarkStart w:id="0" w:name="_Toc20476"/>
      <w:bookmarkStart w:id="1" w:name="_Toc709"/>
      <w:bookmarkStart w:id="2" w:name="OLE_LINK1"/>
      <w:r>
        <w:rPr>
          <w:rFonts w:eastAsia="黑体" w:cs="Times New Roman"/>
          <w:b/>
          <w:sz w:val="32"/>
          <w:szCs w:val="32"/>
          <w:lang w:val="en-US"/>
        </w:rPr>
        <w:t>第一章 总则</w:t>
      </w:r>
      <w:bookmarkEnd w:id="0"/>
      <w:bookmarkEnd w:id="1"/>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30"/>
          <w:szCs w:val="30"/>
          <w:lang w:val="en-US" w:eastAsia="zh-CN" w:bidi="ar-SA"/>
        </w:rPr>
      </w:pPr>
      <w:bookmarkStart w:id="3" w:name="1.1 编制目的"/>
      <w:bookmarkEnd w:id="3"/>
      <w:bookmarkStart w:id="4" w:name="_bookmark1"/>
      <w:bookmarkEnd w:id="4"/>
      <w:bookmarkStart w:id="5" w:name="_Toc26228"/>
      <w:bookmarkStart w:id="6" w:name="_Toc575"/>
      <w:r>
        <w:rPr>
          <w:rFonts w:hint="eastAsia" w:ascii="Times New Roman" w:hAnsi="Times New Roman" w:eastAsia="黑体" w:cs="Times New Roman"/>
          <w:color w:val="auto"/>
          <w:kern w:val="2"/>
          <w:sz w:val="30"/>
          <w:szCs w:val="30"/>
          <w:lang w:val="en-US" w:eastAsia="zh-CN" w:bidi="ar-SA"/>
        </w:rPr>
        <w:t>1.1编制目的</w:t>
      </w:r>
      <w:bookmarkEnd w:id="5"/>
      <w:bookmarkEnd w:id="6"/>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建立健全</w:t>
      </w:r>
      <w:r>
        <w:rPr>
          <w:rFonts w:hint="eastAsia" w:eastAsia="仿宋_GB2312" w:cs="Times New Roman"/>
          <w:color w:val="auto"/>
          <w:kern w:val="2"/>
          <w:sz w:val="24"/>
          <w:szCs w:val="24"/>
          <w:lang w:val="en-US" w:eastAsia="zh-CN" w:bidi="ar-SA"/>
        </w:rPr>
        <w:t>双狮（张家港）精细化工有限公司</w:t>
      </w:r>
      <w:r>
        <w:rPr>
          <w:rFonts w:ascii="Times New Roman" w:hAnsi="Times New Roman" w:eastAsia="仿宋_GB2312" w:cs="Times New Roman"/>
          <w:color w:val="auto"/>
          <w:kern w:val="2"/>
          <w:sz w:val="24"/>
          <w:szCs w:val="24"/>
          <w:lang w:val="en-US" w:bidi="ar-SA"/>
        </w:rPr>
        <w:t>突发土壤</w:t>
      </w:r>
      <w:r>
        <w:rPr>
          <w:rFonts w:hint="eastAsia" w:eastAsia="仿宋_GB2312" w:cs="Times New Roman"/>
          <w:color w:val="auto"/>
          <w:kern w:val="2"/>
          <w:sz w:val="24"/>
          <w:szCs w:val="24"/>
          <w:lang w:val="en-US" w:eastAsia="zh-CN" w:bidi="ar-SA"/>
        </w:rPr>
        <w:t>及地下水</w:t>
      </w:r>
      <w:r>
        <w:rPr>
          <w:rFonts w:ascii="Times New Roman" w:hAnsi="Times New Roman" w:eastAsia="仿宋_GB2312" w:cs="Times New Roman"/>
          <w:color w:val="auto"/>
          <w:kern w:val="2"/>
          <w:sz w:val="24"/>
          <w:szCs w:val="24"/>
          <w:lang w:val="en-US" w:bidi="ar-SA"/>
        </w:rPr>
        <w:t>环境污染事件的应急响应机制，提高土壤</w:t>
      </w:r>
      <w:r>
        <w:rPr>
          <w:rFonts w:hint="eastAsia" w:eastAsia="仿宋_GB2312" w:cs="Times New Roman"/>
          <w:color w:val="auto"/>
          <w:kern w:val="2"/>
          <w:sz w:val="24"/>
          <w:szCs w:val="24"/>
          <w:lang w:val="en-US" w:eastAsia="zh-CN" w:bidi="ar-SA"/>
        </w:rPr>
        <w:t>及地下水</w:t>
      </w:r>
      <w:r>
        <w:rPr>
          <w:rFonts w:ascii="Times New Roman" w:hAnsi="Times New Roman" w:eastAsia="仿宋_GB2312" w:cs="Times New Roman"/>
          <w:color w:val="auto"/>
          <w:kern w:val="2"/>
          <w:sz w:val="24"/>
          <w:szCs w:val="24"/>
          <w:lang w:val="en-US" w:bidi="ar-SA"/>
        </w:rPr>
        <w:t>环境污染事件预防、预警和应急处置的能力，控制、降低和消除土壤</w:t>
      </w:r>
      <w:r>
        <w:rPr>
          <w:rFonts w:hint="eastAsia" w:eastAsia="仿宋_GB2312" w:cs="Times New Roman"/>
          <w:color w:val="auto"/>
          <w:kern w:val="2"/>
          <w:sz w:val="24"/>
          <w:szCs w:val="24"/>
          <w:lang w:val="en-US" w:eastAsia="zh-CN" w:bidi="ar-SA"/>
        </w:rPr>
        <w:t>及地下水</w:t>
      </w:r>
      <w:r>
        <w:rPr>
          <w:rFonts w:ascii="Times New Roman" w:hAnsi="Times New Roman" w:eastAsia="仿宋_GB2312" w:cs="Times New Roman"/>
          <w:color w:val="auto"/>
          <w:kern w:val="2"/>
          <w:sz w:val="24"/>
          <w:szCs w:val="24"/>
          <w:lang w:val="en-US" w:bidi="ar-SA"/>
        </w:rPr>
        <w:t>环境污染事件影响及其危害，保障公众生命健康、财产安全、环境安全，促进经济社会全面、协调、可持续发展。</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30"/>
          <w:szCs w:val="30"/>
          <w:lang w:val="en-US" w:eastAsia="zh-CN" w:bidi="ar-SA"/>
        </w:rPr>
      </w:pPr>
      <w:bookmarkStart w:id="7" w:name="1.2 编制依据"/>
      <w:bookmarkEnd w:id="7"/>
      <w:bookmarkStart w:id="8" w:name="_bookmark2"/>
      <w:bookmarkEnd w:id="8"/>
      <w:bookmarkStart w:id="9" w:name="_Toc23715"/>
      <w:bookmarkStart w:id="10" w:name="_Toc5426"/>
      <w:r>
        <w:rPr>
          <w:rFonts w:hint="eastAsia" w:ascii="Times New Roman" w:hAnsi="Times New Roman" w:eastAsia="黑体" w:cs="Times New Roman"/>
          <w:color w:val="auto"/>
          <w:kern w:val="2"/>
          <w:sz w:val="30"/>
          <w:szCs w:val="30"/>
          <w:lang w:val="en-US" w:eastAsia="zh-CN" w:bidi="ar-SA"/>
        </w:rPr>
        <w:t>1.2编制依据</w:t>
      </w:r>
      <w:bookmarkEnd w:id="9"/>
      <w:bookmarkEnd w:id="10"/>
    </w:p>
    <w:p>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eastAsia="zh-CN" w:bidi="ar-SA"/>
        </w:rPr>
        <w:t>本预案依据国家以下法律、标准、技术导则编写，具体如下：</w:t>
      </w:r>
    </w:p>
    <w:p>
      <w:pPr>
        <w:pStyle w:val="6"/>
        <w:autoSpaceDE/>
        <w:autoSpaceDN/>
        <w:spacing w:before="65" w:beforeLines="20" w:after="65" w:afterLines="20" w:line="360" w:lineRule="auto"/>
        <w:ind w:left="0" w:right="0"/>
        <w:jc w:val="left"/>
        <w:rPr>
          <w:rFonts w:ascii="Times New Roman" w:hAnsi="Times New Roman" w:eastAsia="仿宋_GB2312" w:cs="Times New Roman"/>
          <w:color w:val="auto"/>
          <w:kern w:val="2"/>
          <w:sz w:val="24"/>
          <w:szCs w:val="24"/>
          <w:lang w:val="en-US" w:bidi="ar-SA"/>
        </w:rPr>
      </w:pPr>
      <w:bookmarkStart w:id="11" w:name="1.2.1政策法规、规章"/>
      <w:bookmarkEnd w:id="11"/>
      <w:bookmarkStart w:id="12" w:name="1.2.1政策法规、规章"/>
      <w:bookmarkEnd w:id="12"/>
      <w:bookmarkStart w:id="13" w:name="_Toc27067"/>
      <w:bookmarkStart w:id="14" w:name="_Toc7476"/>
      <w:r>
        <w:rPr>
          <w:rFonts w:hint="eastAsia" w:ascii="Times New Roman" w:hAnsi="Times New Roman" w:eastAsia="仿宋_GB2312" w:cs="Times New Roman"/>
          <w:color w:val="auto"/>
          <w:kern w:val="2"/>
          <w:sz w:val="24"/>
          <w:szCs w:val="24"/>
          <w:lang w:val="en-US" w:eastAsia="zh-CN" w:bidi="ar-SA"/>
        </w:rPr>
        <w:t>1.2.1</w:t>
      </w:r>
      <w:r>
        <w:rPr>
          <w:rFonts w:ascii="Times New Roman" w:hAnsi="Times New Roman" w:eastAsia="仿宋_GB2312" w:cs="Times New Roman"/>
          <w:color w:val="auto"/>
          <w:kern w:val="2"/>
          <w:sz w:val="24"/>
          <w:szCs w:val="24"/>
          <w:lang w:val="en-US" w:bidi="ar-SA"/>
        </w:rPr>
        <w:t>政策法规、规章</w:t>
      </w:r>
      <w:bookmarkEnd w:id="13"/>
      <w:bookmarkEnd w:id="14"/>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《中华人民共和国环境保护法》，国家主席令第 9 号，1989.12.26 通过并施行，2014.4.20 修订通过，2015.1.1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《中华人民共和国突发事件应对法》，国家主席令第 69 号，2007.8.30 通过，2007.11.1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《中华人民共和国水污染防治法》，国家主席令第 87 号，2008.2.28 通过，2008.6.1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《中华人民共和国大气污染防治法》，国家主席令第 31 号，2015.8.29 修订通过，2016.1.1 施行；</w:t>
      </w:r>
      <w:bookmarkStart w:id="309" w:name="_GoBack"/>
      <w:bookmarkEnd w:id="309"/>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bidi="ar-SA"/>
        </w:rPr>
        <w:t>《中华人民共和国</w:t>
      </w:r>
      <w:r>
        <w:rPr>
          <w:rFonts w:hint="eastAsia" w:eastAsia="仿宋_GB2312" w:cs="Times New Roman"/>
          <w:color w:val="auto"/>
          <w:kern w:val="2"/>
          <w:sz w:val="24"/>
          <w:szCs w:val="24"/>
          <w:lang w:val="en-US" w:eastAsia="zh-CN" w:bidi="ar-SA"/>
        </w:rPr>
        <w:t>土壤</w:t>
      </w:r>
      <w:r>
        <w:rPr>
          <w:rFonts w:ascii="Times New Roman" w:hAnsi="Times New Roman" w:eastAsia="仿宋_GB2312" w:cs="Times New Roman"/>
          <w:color w:val="auto"/>
          <w:kern w:val="2"/>
          <w:sz w:val="24"/>
          <w:szCs w:val="24"/>
          <w:lang w:val="en-US" w:bidi="ar-SA"/>
        </w:rPr>
        <w:t>污染防治法》国家主席令第</w:t>
      </w:r>
      <w:r>
        <w:rPr>
          <w:rFonts w:hint="eastAsia" w:eastAsia="仿宋_GB2312" w:cs="Times New Roman"/>
          <w:color w:val="auto"/>
          <w:kern w:val="2"/>
          <w:sz w:val="24"/>
          <w:szCs w:val="24"/>
          <w:lang w:val="en-US" w:eastAsia="zh-CN" w:bidi="ar-SA"/>
        </w:rPr>
        <w:t>8</w:t>
      </w:r>
      <w:r>
        <w:rPr>
          <w:rFonts w:ascii="Times New Roman" w:hAnsi="Times New Roman" w:eastAsia="仿宋_GB2312" w:cs="Times New Roman"/>
          <w:color w:val="auto"/>
          <w:kern w:val="2"/>
          <w:sz w:val="24"/>
          <w:szCs w:val="24"/>
          <w:lang w:val="en-US" w:bidi="ar-SA"/>
        </w:rPr>
        <w:t>号，</w:t>
      </w:r>
      <w:r>
        <w:rPr>
          <w:rFonts w:hint="eastAsia" w:eastAsia="仿宋_GB2312" w:cs="Times New Roman"/>
          <w:color w:val="auto"/>
          <w:kern w:val="2"/>
          <w:sz w:val="24"/>
          <w:szCs w:val="24"/>
          <w:lang w:val="en-US" w:eastAsia="zh-CN" w:bidi="ar-SA"/>
        </w:rPr>
        <w:t>2018.8.31</w:t>
      </w:r>
      <w:r>
        <w:rPr>
          <w:rFonts w:ascii="Times New Roman" w:hAnsi="Times New Roman" w:eastAsia="仿宋_GB2312" w:cs="Times New Roman"/>
          <w:color w:val="auto"/>
          <w:kern w:val="2"/>
          <w:sz w:val="24"/>
          <w:szCs w:val="24"/>
          <w:lang w:val="en-US" w:bidi="ar-SA"/>
        </w:rPr>
        <w:t>修订通过</w:t>
      </w:r>
      <w:r>
        <w:rPr>
          <w:rFonts w:hint="eastAsia" w:eastAsia="仿宋_GB2312" w:cs="Times New Roman"/>
          <w:color w:val="auto"/>
          <w:kern w:val="2"/>
          <w:sz w:val="24"/>
          <w:szCs w:val="24"/>
          <w:lang w:val="en-US" w:eastAsia="zh-CN" w:bidi="ar-SA"/>
        </w:rPr>
        <w:t>，2019.1.1实施；</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《中华人民共和国固体废物污染环境防治法》，国家主席令第</w:t>
      </w:r>
      <w:r>
        <w:rPr>
          <w:rFonts w:hint="eastAsia" w:eastAsia="仿宋_GB2312" w:cs="Times New Roman"/>
          <w:color w:val="auto"/>
          <w:kern w:val="2"/>
          <w:sz w:val="24"/>
          <w:szCs w:val="24"/>
          <w:lang w:val="en-US" w:eastAsia="zh-CN" w:bidi="ar-SA"/>
        </w:rPr>
        <w:t>43</w:t>
      </w:r>
      <w:r>
        <w:rPr>
          <w:rFonts w:ascii="Times New Roman" w:hAnsi="Times New Roman" w:eastAsia="仿宋_GB2312" w:cs="Times New Roman"/>
          <w:color w:val="auto"/>
          <w:kern w:val="2"/>
          <w:sz w:val="24"/>
          <w:szCs w:val="24"/>
          <w:lang w:val="en-US" w:bidi="ar-SA"/>
        </w:rPr>
        <w:t xml:space="preserve"> 号，</w:t>
      </w:r>
      <w:r>
        <w:rPr>
          <w:rFonts w:hint="eastAsia" w:eastAsia="仿宋_GB2312" w:cs="Times New Roman"/>
          <w:color w:val="auto"/>
          <w:kern w:val="2"/>
          <w:sz w:val="24"/>
          <w:szCs w:val="24"/>
          <w:lang w:val="en-US" w:eastAsia="zh-CN" w:bidi="ar-SA"/>
        </w:rPr>
        <w:t>2020.4.29</w:t>
      </w:r>
      <w:r>
        <w:rPr>
          <w:rFonts w:ascii="Times New Roman" w:hAnsi="Times New Roman" w:eastAsia="仿宋_GB2312" w:cs="Times New Roman"/>
          <w:color w:val="auto"/>
          <w:kern w:val="2"/>
          <w:sz w:val="24"/>
          <w:szCs w:val="24"/>
          <w:lang w:val="en-US" w:bidi="ar-SA"/>
        </w:rPr>
        <w:t>修订通过，</w:t>
      </w:r>
      <w:r>
        <w:rPr>
          <w:rFonts w:hint="eastAsia" w:eastAsia="仿宋_GB2312" w:cs="Times New Roman"/>
          <w:color w:val="auto"/>
          <w:kern w:val="2"/>
          <w:sz w:val="24"/>
          <w:szCs w:val="24"/>
          <w:lang w:val="en-US" w:eastAsia="zh-CN" w:bidi="ar-SA"/>
        </w:rPr>
        <w:t>2020.9.1</w:t>
      </w:r>
      <w:r>
        <w:rPr>
          <w:rFonts w:ascii="Times New Roman" w:hAnsi="Times New Roman" w:eastAsia="仿宋_GB2312" w:cs="Times New Roman"/>
          <w:color w:val="auto"/>
          <w:kern w:val="2"/>
          <w:sz w:val="24"/>
          <w:szCs w:val="24"/>
          <w:lang w:val="en-US" w:bidi="ar-SA"/>
        </w:rPr>
        <w:t>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《中华人民共和国安全生产法》，国家主席令第 13 号，2014.8.1 修订通过，2014.12.1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《中华人民共和国消防法》，国家主席令第 6 号，2008.10.28 修订通过，2009.5.1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《国务院办公厅关于印发国家突发环境事件应急预案的通知》， 国办函[2014]119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《省政府办公厅关于印发江苏省突发环境事件应急预案的通知》， 苏政办发[2014]29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《突发事件应急预案管理办法》国办发[2013]101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《江苏省突发事件应急预案管理办法》苏政办发[2012]153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《突发环境事件信息报告办法》环境保护部令第 17 号，2011.3.24 通过，2011.5.1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《突发环境事件应急管理办法》环境保护部令第 34 号，2015.3.19通过，2015.6.5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关于印发《企业事业单位突发环境事件应急预案备案管理办法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试行）》的通知，环发[2015]4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《关于深入推进环境应急预案规范化管理工作的通知》，苏环办[2012]221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《江苏省突发环境事件应急预案编制导则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试行）》</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企业事业单位版）；</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《关于进一步加强环境影响评价管理防范环境风险的通知》，环发[2012]77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《关于切实加强风险防范严格环境影响评价管理的通知》，环发[2012]98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《关于印发江苏省突发环境事件应急预案管理办法的通知》，苏环规[2014]2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《市政府办公室关于印发苏州市突发环境事件应急预案的通知》，苏府办[2012]244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关于印发《突发环境事件应急处置阶段污染损害评估工作程序规定》的通知，环发[2013]85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《土壤污染防治行动计划》</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国发〔2016〕31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bidi="ar-SA"/>
        </w:rPr>
        <w:t>《污染地块土壤环境管理办法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试行）》</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环保部令 第 42 号）《关于保障工业企业场地再开发利用环境安全的通知》</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环发〔2012〕140 号）</w:t>
      </w:r>
      <w:r>
        <w:rPr>
          <w:rFonts w:hint="eastAsia" w:eastAsia="仿宋_GB2312" w:cs="Times New Roman"/>
          <w:color w:val="auto"/>
          <w:kern w:val="2"/>
          <w:sz w:val="24"/>
          <w:szCs w:val="24"/>
          <w:lang w:val="en-US" w:eastAsia="zh-CN"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bidi="ar-SA"/>
        </w:rPr>
        <w:t>《国务院办公厅关于印发近期土壤环境保护和综合治理工作安排的通知》</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国办发〔2013〕7 号）</w:t>
      </w:r>
      <w:r>
        <w:rPr>
          <w:rFonts w:hint="eastAsia" w:eastAsia="仿宋_GB2312" w:cs="Times New Roman"/>
          <w:color w:val="auto"/>
          <w:kern w:val="2"/>
          <w:sz w:val="24"/>
          <w:szCs w:val="24"/>
          <w:lang w:val="en-US" w:eastAsia="zh-CN"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bidi="ar-SA"/>
        </w:rPr>
        <w:t>《关于加强工业企业关停、搬迁及原址场地再开发利用过程中污染防治工作的通知》</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环发[2014]66）</w:t>
      </w:r>
      <w:r>
        <w:rPr>
          <w:rFonts w:hint="eastAsia" w:eastAsia="仿宋_GB2312" w:cs="Times New Roman"/>
          <w:color w:val="auto"/>
          <w:kern w:val="2"/>
          <w:sz w:val="24"/>
          <w:szCs w:val="24"/>
          <w:lang w:val="en-US" w:eastAsia="zh-CN"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《江苏省土壤污染防治工作方案》</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苏政发〔2016〕169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《苏州市土壤污染防治工作方案》</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苏府〔2017〕102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《张家港市土壤污染防治工作方案》</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张政发〔2017〕106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《工业企业土壤污染隐患排查和整改指南》；</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《建设项目环境影响评价分类管理名录》，环境保护部令第 33号，2015.3.19 修订通过，2015.6.1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《危险化学品安全管理条例》，国务院令第 591 号，2013.12.4 修订通过，2013.12.7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《国务院关于加强环境保护重点工作的意见》，国发[2011]35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《危险化学品重大危险源监督管理暂行规定》，安全监管总局令第 40 号，2015.3.23 修订，2015.7.1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《产业结构调整指导目录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2011 年本）》</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2016 修正），国家发展改革委第 36 号令，2016.3.25 公布；</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《关于发布重点环境管理危险化学品目录的通知》，环办[2014]33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《国家安全监督总局关于公布首批重点监管危险化学品名录的通知》，安监总管三[2011]95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《国家安全监督总局关于公布第二批重点监管危险化学品名录的通知》，安监总管三[2013]12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《国家安全监管总局办公厅关于印发首批重点监管的危险化学品安全措施和应急处置原则的通知》，安监总厅管三[2011]142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《国家危险废物名录》，国家环境保护部令第 39 号，2016.8.1 施行；</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bidi="ar-SA"/>
        </w:rPr>
        <w:t>《危险化学品目录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2015 年版）》，国家安全监管总局、国家工信部、国家公安部、国家环保部等公告，2015 年第 5 号，2015.5.1 施行</w:t>
      </w:r>
      <w:r>
        <w:rPr>
          <w:rFonts w:hint="eastAsia" w:ascii="Times New Roman" w:hAnsi="Times New Roman" w:eastAsia="仿宋_GB2312" w:cs="Times New Roman"/>
          <w:color w:val="auto"/>
          <w:kern w:val="2"/>
          <w:sz w:val="24"/>
          <w:szCs w:val="24"/>
          <w:lang w:val="en-US" w:eastAsia="zh-CN" w:bidi="ar-SA"/>
        </w:rPr>
        <w:t>。</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5" w:name="1.2.2 标准、技术规范"/>
      <w:bookmarkEnd w:id="15"/>
      <w:bookmarkStart w:id="16" w:name="1.2.2 标准、技术规范"/>
      <w:bookmarkEnd w:id="16"/>
      <w:bookmarkStart w:id="17" w:name="_Toc25668"/>
      <w:bookmarkStart w:id="18" w:name="_Toc7608"/>
      <w:r>
        <w:rPr>
          <w:rFonts w:hint="eastAsia" w:ascii="Times New Roman" w:hAnsi="Times New Roman" w:eastAsia="仿宋_GB2312" w:cs="Times New Roman"/>
          <w:color w:val="auto"/>
          <w:kern w:val="2"/>
          <w:sz w:val="24"/>
          <w:szCs w:val="24"/>
          <w:lang w:val="en-US" w:eastAsia="zh-CN" w:bidi="ar-SA"/>
        </w:rPr>
        <w:t>1.2.2标准、技术规范</w:t>
      </w:r>
      <w:bookmarkEnd w:id="17"/>
      <w:bookmarkEnd w:id="18"/>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《危险化学品重大危险源辨识》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GB18218-20</w:t>
      </w:r>
      <w:r>
        <w:rPr>
          <w:rFonts w:hint="eastAsia" w:ascii="Times New Roman" w:hAnsi="Times New Roman" w:eastAsia="仿宋_GB2312" w:cs="Times New Roman"/>
          <w:color w:val="auto"/>
          <w:kern w:val="2"/>
          <w:sz w:val="24"/>
          <w:szCs w:val="24"/>
          <w:lang w:val="en-US" w:eastAsia="zh-CN" w:bidi="ar-SA"/>
        </w:rPr>
        <w:t>18</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《建设项目环境风险评价技术导则》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HJ/T169-20</w:t>
      </w:r>
      <w:r>
        <w:rPr>
          <w:rFonts w:hint="eastAsia" w:ascii="Times New Roman" w:hAnsi="Times New Roman" w:eastAsia="仿宋_GB2312" w:cs="Times New Roman"/>
          <w:color w:val="auto"/>
          <w:kern w:val="2"/>
          <w:sz w:val="24"/>
          <w:szCs w:val="24"/>
          <w:lang w:val="en-US" w:eastAsia="zh-CN" w:bidi="ar-SA"/>
        </w:rPr>
        <w:t>18</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《环境影响评价技术导则大气环境》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HJ2.2-20</w:t>
      </w:r>
      <w:r>
        <w:rPr>
          <w:rFonts w:hint="eastAsia" w:ascii="Times New Roman" w:hAnsi="Times New Roman" w:eastAsia="仿宋_GB2312" w:cs="Times New Roman"/>
          <w:color w:val="auto"/>
          <w:kern w:val="2"/>
          <w:sz w:val="24"/>
          <w:szCs w:val="24"/>
          <w:lang w:val="en-US" w:eastAsia="zh-CN" w:bidi="ar-SA"/>
        </w:rPr>
        <w:t>1</w:t>
      </w:r>
      <w:r>
        <w:rPr>
          <w:rFonts w:ascii="Times New Roman" w:hAnsi="Times New Roman" w:eastAsia="仿宋_GB2312" w:cs="Times New Roman"/>
          <w:color w:val="auto"/>
          <w:kern w:val="2"/>
          <w:sz w:val="24"/>
          <w:szCs w:val="24"/>
          <w:lang w:val="en-US" w:bidi="ar-SA"/>
        </w:rPr>
        <w:t>8）；</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《环境影响评价技术导则地面水环境》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HJ/T2.3-</w:t>
      </w:r>
      <w:r>
        <w:rPr>
          <w:rFonts w:hint="eastAsia" w:ascii="Times New Roman" w:hAnsi="Times New Roman" w:eastAsia="仿宋_GB2312" w:cs="Times New Roman"/>
          <w:color w:val="auto"/>
          <w:kern w:val="2"/>
          <w:sz w:val="24"/>
          <w:szCs w:val="24"/>
          <w:lang w:val="en-US" w:eastAsia="zh-CN" w:bidi="ar-SA"/>
        </w:rPr>
        <w:t>2018</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《环境影响评价技术导则地下水环境》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HJ610-2016）；</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《环境空气质量标准》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GB3095-2012）；</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《地表水环境质量标准》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GB3838-2002）；</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eastAsia="zh-CN" w:bidi="ar-SA"/>
        </w:rPr>
        <w:t>《地表水资源质量标准》</w:t>
      </w:r>
      <w:r>
        <w:rPr>
          <w:rFonts w:hint="eastAsia" w:ascii="Times New Roman" w:hAnsi="Times New Roman"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eastAsia="zh-CN" w:bidi="ar-SA"/>
        </w:rPr>
        <w:t>SL63-94）；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《声环境质量标准》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GB3096-2008）；</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《太湖地区城镇污水处理厂及重点工业行业主要污染物排放限值》</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DB32/1072-20</w:t>
      </w:r>
      <w:r>
        <w:rPr>
          <w:rFonts w:hint="eastAsia" w:ascii="Times New Roman" w:hAnsi="Times New Roman" w:eastAsia="仿宋_GB2312" w:cs="Times New Roman"/>
          <w:color w:val="auto"/>
          <w:kern w:val="2"/>
          <w:sz w:val="24"/>
          <w:szCs w:val="24"/>
          <w:lang w:val="en-US" w:eastAsia="zh-CN" w:bidi="ar-SA"/>
        </w:rPr>
        <w:t>18</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《污水综合排放标准》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GB8978-</w:t>
      </w:r>
      <w:r>
        <w:rPr>
          <w:rFonts w:hint="eastAsia" w:ascii="Times New Roman" w:hAnsi="Times New Roman" w:eastAsia="仿宋_GB2312" w:cs="Times New Roman"/>
          <w:color w:val="auto"/>
          <w:kern w:val="2"/>
          <w:sz w:val="24"/>
          <w:szCs w:val="24"/>
          <w:lang w:val="en-US" w:eastAsia="zh-CN" w:bidi="ar-SA"/>
        </w:rPr>
        <w:t>2002</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《工业企业厂界环境噪声排放标准》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GB12348-2008）；</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《危险废物贮存污染控制标准》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GB18597-2001）及修改单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2013）；</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《一般工业固体废弃物贮存、处置场污染控制标准》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GB18599-2001）及修改单</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2013）；</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《危险废物鉴别标准腐蚀性鉴别》</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GB5085.1-20</w:t>
      </w:r>
      <w:r>
        <w:rPr>
          <w:rFonts w:hint="eastAsia" w:ascii="Times New Roman" w:hAnsi="Times New Roman" w:eastAsia="仿宋_GB2312" w:cs="Times New Roman"/>
          <w:color w:val="auto"/>
          <w:kern w:val="2"/>
          <w:sz w:val="24"/>
          <w:szCs w:val="24"/>
          <w:lang w:val="en-US" w:eastAsia="zh-CN" w:bidi="ar-SA"/>
        </w:rPr>
        <w:t>16</w:t>
      </w:r>
      <w:r>
        <w:rPr>
          <w:rFonts w:ascii="Times New Roman" w:hAnsi="Times New Roman" w:eastAsia="仿宋_GB2312" w:cs="Times New Roman"/>
          <w:color w:val="auto"/>
          <w:kern w:val="2"/>
          <w:sz w:val="24"/>
          <w:szCs w:val="24"/>
          <w:lang w:val="en-US" w:bidi="ar-SA"/>
        </w:rPr>
        <w:t>）；</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《危险废物鉴别标准急性毒性初筛》</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GB5085.2-2007）；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《危险废物鉴别标准浸出毒性鉴别》</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GB5085.3-2007）；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《危险废物鉴别标准易燃性鉴别》</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GB5085.4-2007）；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《危险废物鉴别标准毒性物质含量鉴别》</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GB5085.6-2007）；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《危险废物鉴别标准通则》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GB5085.7-2007）；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《危险废物鉴别规范》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HJ/T298-2007）；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《危险货物品名表》</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GB12268-2012）；</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《工作场所有害因素职业接触限值第 1 部分：化学有害因素》</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GBZ2.1-2007）；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《工作场所有害因素职业接触限值第 2 部分：物理有害因素》</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GBZ2.2-2007）；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《土壤环境质量 建设用地土壤污染风险管控标准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试行）》</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 36600-2018）；</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《地下水质量标准》</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GB/T 14848-2017）；</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《北京市场地土壤环境风险评价筛选值》</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DB11/T 811-2011）；</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《场地环境调查技术导则》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 25.1-2014）；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《场地环境监测技术导则》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 25.2-2014）；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《污染场地风险评估技术导则》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 25.3-2014）；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《污染场地土壤修复技术导则》</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 25.4-2014）；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《土壤环境监测技术规范》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HJ/T 166-2004）；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《建设用地土壤环境调查评估技术指南》</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2017 年 第 72 号）；</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《在产企业土壤及地下水自行监测技术指南</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征求意见稿）》；</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《地下水环境监测技术规范》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HJ/T 164-2004）；</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《工程测量规范》</w:t>
      </w:r>
      <w:r>
        <w:rPr>
          <w:rFonts w:hint="eastAsia"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bidi="ar-SA"/>
        </w:rPr>
        <w:t>GB 50026-20</w:t>
      </w:r>
      <w:r>
        <w:rPr>
          <w:rFonts w:hint="eastAsia" w:ascii="Times New Roman" w:hAnsi="Times New Roman" w:eastAsia="仿宋_GB2312" w:cs="Times New Roman"/>
          <w:color w:val="auto"/>
          <w:kern w:val="2"/>
          <w:sz w:val="24"/>
          <w:szCs w:val="24"/>
          <w:lang w:val="en-US" w:eastAsia="zh-CN" w:bidi="ar-SA"/>
        </w:rPr>
        <w:t>16</w:t>
      </w:r>
      <w:r>
        <w:rPr>
          <w:rFonts w:ascii="Times New Roman" w:hAnsi="Times New Roman" w:eastAsia="仿宋_GB2312" w:cs="Times New Roman"/>
          <w:color w:val="auto"/>
          <w:kern w:val="2"/>
          <w:sz w:val="24"/>
          <w:szCs w:val="24"/>
          <w:lang w:val="en-US" w:bidi="ar-SA"/>
        </w:rPr>
        <w:t>）。</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30"/>
          <w:szCs w:val="30"/>
          <w:lang w:val="en-US" w:eastAsia="zh-CN" w:bidi="ar-SA"/>
        </w:rPr>
      </w:pPr>
      <w:bookmarkStart w:id="19" w:name="_bookmark3"/>
      <w:bookmarkEnd w:id="19"/>
      <w:bookmarkStart w:id="20" w:name="1.3 适用范围"/>
      <w:bookmarkEnd w:id="20"/>
      <w:bookmarkStart w:id="21" w:name="_Toc309"/>
      <w:bookmarkStart w:id="22" w:name="_Toc31979"/>
      <w:r>
        <w:rPr>
          <w:rFonts w:hint="eastAsia" w:ascii="Times New Roman" w:hAnsi="Times New Roman" w:eastAsia="黑体" w:cs="Times New Roman"/>
          <w:color w:val="auto"/>
          <w:kern w:val="2"/>
          <w:sz w:val="30"/>
          <w:szCs w:val="30"/>
          <w:lang w:val="en-US" w:eastAsia="zh-CN" w:bidi="ar-SA"/>
        </w:rPr>
        <w:t>1.3适用范围</w:t>
      </w:r>
      <w:bookmarkEnd w:id="21"/>
      <w:bookmarkEnd w:id="22"/>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本预案适用于</w:t>
      </w:r>
      <w:r>
        <w:rPr>
          <w:rFonts w:hint="eastAsia" w:eastAsia="仿宋_GB2312" w:cs="Times New Roman"/>
          <w:color w:val="auto"/>
          <w:kern w:val="2"/>
          <w:sz w:val="24"/>
          <w:szCs w:val="24"/>
          <w:lang w:val="en-US" w:eastAsia="zh-CN" w:bidi="ar-SA"/>
        </w:rPr>
        <w:t>双狮（张家港）精细化工有限公司</w:t>
      </w:r>
      <w:r>
        <w:rPr>
          <w:rFonts w:ascii="Times New Roman" w:hAnsi="Times New Roman" w:eastAsia="仿宋_GB2312" w:cs="Times New Roman"/>
          <w:color w:val="auto"/>
          <w:kern w:val="2"/>
          <w:sz w:val="24"/>
          <w:szCs w:val="24"/>
          <w:lang w:val="en-US" w:bidi="ar-SA"/>
        </w:rPr>
        <w:t>内突发土壤</w:t>
      </w:r>
      <w:r>
        <w:rPr>
          <w:rFonts w:hint="eastAsia" w:eastAsia="仿宋_GB2312" w:cs="Times New Roman"/>
          <w:color w:val="auto"/>
          <w:kern w:val="2"/>
          <w:sz w:val="24"/>
          <w:szCs w:val="24"/>
          <w:lang w:val="en-US" w:eastAsia="zh-CN" w:bidi="ar-SA"/>
        </w:rPr>
        <w:t>及地下水</w:t>
      </w:r>
      <w:r>
        <w:rPr>
          <w:rFonts w:ascii="Times New Roman" w:hAnsi="Times New Roman" w:eastAsia="仿宋_GB2312" w:cs="Times New Roman"/>
          <w:color w:val="auto"/>
          <w:kern w:val="2"/>
          <w:sz w:val="24"/>
          <w:szCs w:val="24"/>
          <w:lang w:val="en-US" w:bidi="ar-SA"/>
        </w:rPr>
        <w:t>环境污染事件应对工作。</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30"/>
          <w:szCs w:val="30"/>
          <w:lang w:val="en-US" w:eastAsia="zh-CN" w:bidi="ar-SA"/>
        </w:rPr>
      </w:pPr>
      <w:bookmarkStart w:id="23" w:name="1.4 应急预案体系"/>
      <w:bookmarkEnd w:id="23"/>
      <w:bookmarkStart w:id="24" w:name="_bookmark4"/>
      <w:bookmarkEnd w:id="24"/>
      <w:bookmarkStart w:id="25" w:name="_Toc25742"/>
      <w:bookmarkStart w:id="26" w:name="_Toc2079"/>
      <w:r>
        <w:rPr>
          <w:rFonts w:hint="eastAsia" w:ascii="Times New Roman" w:hAnsi="Times New Roman" w:eastAsia="黑体" w:cs="Times New Roman"/>
          <w:color w:val="auto"/>
          <w:kern w:val="2"/>
          <w:sz w:val="30"/>
          <w:szCs w:val="30"/>
          <w:lang w:val="en-US" w:eastAsia="zh-CN" w:bidi="ar-SA"/>
        </w:rPr>
        <w:t>1.4应急预案体系</w:t>
      </w:r>
      <w:bookmarkEnd w:id="25"/>
      <w:bookmarkEnd w:id="26"/>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仿宋_GB2312" w:cs="Times New Roman"/>
          <w:color w:val="auto"/>
          <w:kern w:val="2"/>
          <w:sz w:val="24"/>
          <w:szCs w:val="24"/>
          <w:lang w:val="en-US" w:bidi="ar-SA"/>
        </w:rPr>
      </w:pPr>
      <w:r>
        <w:rPr>
          <w:rFonts w:ascii="Times New Roman" w:hAnsi="Times New Roman" w:eastAsia="仿宋_GB2312" w:cs="Times New Roman"/>
          <w:color w:val="auto"/>
          <w:kern w:val="2"/>
          <w:sz w:val="24"/>
          <w:szCs w:val="24"/>
          <w:lang w:val="en-US" w:bidi="ar-SA"/>
        </w:rPr>
        <w:t>本应急预案由总则、公司基本情况、</w:t>
      </w:r>
      <w:r>
        <w:rPr>
          <w:rFonts w:hint="eastAsia" w:eastAsia="仿宋_GB2312" w:cs="Times New Roman"/>
          <w:color w:val="auto"/>
          <w:kern w:val="2"/>
          <w:sz w:val="24"/>
          <w:szCs w:val="24"/>
          <w:lang w:val="en-US" w:eastAsia="zh-CN" w:bidi="ar-SA"/>
        </w:rPr>
        <w:t>土壤及地下水环境</w:t>
      </w:r>
      <w:r>
        <w:rPr>
          <w:rFonts w:ascii="Times New Roman" w:hAnsi="Times New Roman" w:eastAsia="仿宋_GB2312" w:cs="Times New Roman"/>
          <w:color w:val="auto"/>
          <w:kern w:val="2"/>
          <w:sz w:val="24"/>
          <w:szCs w:val="24"/>
          <w:lang w:val="en-US" w:bidi="ar-SA"/>
        </w:rPr>
        <w:t>风险源与环境风险</w:t>
      </w:r>
      <w:r>
        <w:rPr>
          <w:rFonts w:hint="eastAsia" w:eastAsia="仿宋_GB2312" w:cs="Times New Roman"/>
          <w:color w:val="auto"/>
          <w:kern w:val="2"/>
          <w:sz w:val="24"/>
          <w:szCs w:val="24"/>
          <w:lang w:val="en-US" w:eastAsia="zh-CN" w:bidi="ar-SA"/>
        </w:rPr>
        <w:t>分析</w:t>
      </w:r>
      <w:r>
        <w:rPr>
          <w:rFonts w:ascii="Times New Roman" w:hAnsi="Times New Roman" w:eastAsia="仿宋_GB2312" w:cs="Times New Roman"/>
          <w:color w:val="auto"/>
          <w:kern w:val="2"/>
          <w:sz w:val="24"/>
          <w:szCs w:val="24"/>
          <w:lang w:val="en-US" w:bidi="ar-SA"/>
        </w:rPr>
        <w:t>、</w:t>
      </w:r>
      <w:r>
        <w:rPr>
          <w:rFonts w:hint="eastAsia" w:eastAsia="仿宋_GB2312" w:cs="Times New Roman"/>
          <w:color w:val="auto"/>
          <w:kern w:val="2"/>
          <w:sz w:val="24"/>
          <w:szCs w:val="24"/>
          <w:lang w:val="en-US" w:eastAsia="zh-CN" w:bidi="ar-SA"/>
        </w:rPr>
        <w:t>组织</w:t>
      </w:r>
      <w:r>
        <w:rPr>
          <w:rFonts w:ascii="Times New Roman" w:hAnsi="Times New Roman" w:eastAsia="仿宋_GB2312" w:cs="Times New Roman"/>
          <w:color w:val="auto"/>
          <w:kern w:val="2"/>
          <w:sz w:val="24"/>
          <w:szCs w:val="24"/>
          <w:lang w:val="en-US" w:bidi="ar-SA"/>
        </w:rPr>
        <w:t>机构</w:t>
      </w:r>
      <w:r>
        <w:rPr>
          <w:rFonts w:hint="eastAsia" w:eastAsia="仿宋_GB2312" w:cs="Times New Roman"/>
          <w:color w:val="auto"/>
          <w:kern w:val="2"/>
          <w:sz w:val="24"/>
          <w:szCs w:val="24"/>
          <w:lang w:val="en-US" w:eastAsia="zh-CN" w:bidi="ar-SA"/>
        </w:rPr>
        <w:t>与</w:t>
      </w:r>
      <w:r>
        <w:rPr>
          <w:rFonts w:ascii="Times New Roman" w:hAnsi="Times New Roman" w:eastAsia="仿宋_GB2312" w:cs="Times New Roman"/>
          <w:color w:val="auto"/>
          <w:kern w:val="2"/>
          <w:sz w:val="24"/>
          <w:szCs w:val="24"/>
          <w:lang w:val="en-US" w:bidi="ar-SA"/>
        </w:rPr>
        <w:t>职责、</w:t>
      </w:r>
      <w:r>
        <w:rPr>
          <w:rFonts w:hint="eastAsia" w:eastAsia="仿宋_GB2312" w:cs="Times New Roman"/>
          <w:color w:val="auto"/>
          <w:kern w:val="2"/>
          <w:sz w:val="24"/>
          <w:szCs w:val="24"/>
          <w:lang w:val="en-US" w:eastAsia="zh-CN" w:bidi="ar-SA"/>
        </w:rPr>
        <w:t>土壤及地下水污染</w:t>
      </w:r>
      <w:r>
        <w:rPr>
          <w:rFonts w:ascii="Times New Roman" w:hAnsi="Times New Roman" w:eastAsia="仿宋_GB2312" w:cs="Times New Roman"/>
          <w:color w:val="auto"/>
          <w:kern w:val="2"/>
          <w:sz w:val="24"/>
          <w:szCs w:val="24"/>
          <w:lang w:val="en-US" w:bidi="ar-SA"/>
        </w:rPr>
        <w:t>预防与预警、信息报告与通报、应急响应与措施、后期处置、应急培训与演练、奖惩、保障措施</w:t>
      </w:r>
      <w:r>
        <w:rPr>
          <w:rFonts w:hint="eastAsia" w:eastAsia="仿宋_GB2312" w:cs="Times New Roman"/>
          <w:color w:val="auto"/>
          <w:kern w:val="2"/>
          <w:sz w:val="24"/>
          <w:szCs w:val="24"/>
          <w:lang w:val="en-US" w:eastAsia="zh-CN" w:bidi="ar-SA"/>
        </w:rPr>
        <w:t>等</w:t>
      </w:r>
      <w:r>
        <w:rPr>
          <w:rFonts w:ascii="Times New Roman" w:hAnsi="Times New Roman" w:eastAsia="仿宋_GB2312" w:cs="Times New Roman"/>
          <w:color w:val="auto"/>
          <w:kern w:val="2"/>
          <w:sz w:val="24"/>
          <w:szCs w:val="24"/>
          <w:lang w:val="en-US" w:bidi="ar-SA"/>
        </w:rPr>
        <w:t>组成。其中</w:t>
      </w:r>
      <w:r>
        <w:rPr>
          <w:rFonts w:hint="eastAsia" w:eastAsia="仿宋_GB2312" w:cs="Times New Roman"/>
          <w:color w:val="auto"/>
          <w:kern w:val="2"/>
          <w:sz w:val="24"/>
          <w:szCs w:val="24"/>
          <w:lang w:val="en-US" w:eastAsia="zh-CN" w:bidi="ar-SA"/>
        </w:rPr>
        <w:t>组织</w:t>
      </w:r>
      <w:r>
        <w:rPr>
          <w:rFonts w:ascii="Times New Roman" w:hAnsi="Times New Roman" w:eastAsia="仿宋_GB2312" w:cs="Times New Roman"/>
          <w:color w:val="auto"/>
          <w:kern w:val="2"/>
          <w:sz w:val="24"/>
          <w:szCs w:val="24"/>
          <w:lang w:val="en-US" w:bidi="ar-SA"/>
        </w:rPr>
        <w:t>机构及职责、预防与预警、信息报告与通报、应急响应与措施、后期处置、应急培训与演练、奖惩、保障措施组成情况以《</w:t>
      </w:r>
      <w:r>
        <w:rPr>
          <w:rFonts w:hint="eastAsia" w:eastAsia="仿宋_GB2312" w:cs="Times New Roman"/>
          <w:color w:val="auto"/>
          <w:kern w:val="2"/>
          <w:sz w:val="24"/>
          <w:szCs w:val="24"/>
          <w:lang w:val="en-US" w:eastAsia="zh-CN" w:bidi="ar-SA"/>
        </w:rPr>
        <w:t>双狮（张家港）精细化工有限公司</w:t>
      </w:r>
      <w:r>
        <w:rPr>
          <w:rFonts w:ascii="Times New Roman" w:hAnsi="Times New Roman" w:eastAsia="仿宋_GB2312" w:cs="Times New Roman"/>
          <w:color w:val="auto"/>
          <w:kern w:val="2"/>
          <w:sz w:val="24"/>
          <w:szCs w:val="24"/>
          <w:lang w:val="en-US" w:bidi="ar-SA"/>
        </w:rPr>
        <w:t>突发环境事件应急预案》中内容为准。</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30"/>
          <w:szCs w:val="30"/>
          <w:lang w:val="en-US" w:eastAsia="zh-CN" w:bidi="ar-SA"/>
        </w:rPr>
      </w:pPr>
      <w:bookmarkStart w:id="27" w:name="_Toc6722"/>
      <w:bookmarkStart w:id="28" w:name="_Toc23868"/>
      <w:r>
        <w:rPr>
          <w:rFonts w:hint="eastAsia" w:ascii="Times New Roman" w:hAnsi="Times New Roman" w:eastAsia="黑体" w:cs="Times New Roman"/>
          <w:color w:val="auto"/>
          <w:kern w:val="2"/>
          <w:sz w:val="30"/>
          <w:szCs w:val="30"/>
          <w:lang w:val="en-US" w:eastAsia="zh-CN" w:bidi="ar-SA"/>
        </w:rPr>
        <w:t>1.5工作原则</w:t>
      </w:r>
      <w:bookmarkEnd w:id="27"/>
      <w:bookmarkEnd w:id="28"/>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双狮（张家港）精细化工有限公司</w:t>
      </w:r>
      <w:r>
        <w:rPr>
          <w:rFonts w:hint="eastAsia" w:ascii="Times New Roman" w:hAnsi="Times New Roman" w:eastAsia="仿宋_GB2312" w:cs="Times New Roman"/>
          <w:color w:val="auto"/>
          <w:kern w:val="2"/>
          <w:sz w:val="24"/>
          <w:szCs w:val="24"/>
          <w:lang w:val="en-US" w:eastAsia="zh-CN" w:bidi="ar-SA"/>
        </w:rPr>
        <w:t>在建立突发土壤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环境污染事故应急系统及其响应程序时，应本着实事求是、切实可行的方针，贯彻如下原则：</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1）预防为主、常备不懈原则</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环境安全是本公司的重要生命线之一，责任重于泰山，公司所有人员都应树立高度的环境安全意识，在日常工作中时刻坚持预防为主、常备不懈的原则，预防和应对突发土壤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环境污染事件。</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2）统一领导、部门联动原则</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公司领导应加强对土壤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环境污染事故应急处置工作的领导，统一指挥，完善应急处置运行机制，协调公司相关部门，整合现有资源，提高应急处置效率。</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3）分级负责、协调配合原则</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应对突发土壤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环境污染事件实行区域管理和分级负责的原则，公司应急组织机构应按照职责分工，密切合作，认真落实各项应急处置措施。</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4）充分利用外部资源的原则</w:t>
      </w:r>
    </w:p>
    <w:p>
      <w:pPr>
        <w:pStyle w:val="6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当突发</w:t>
      </w:r>
      <w:r>
        <w:rPr>
          <w:rFonts w:hint="eastAsia" w:eastAsia="仿宋_GB2312" w:cs="Times New Roman"/>
          <w:color w:val="auto"/>
          <w:kern w:val="2"/>
          <w:sz w:val="24"/>
          <w:szCs w:val="24"/>
          <w:lang w:val="en-US" w:eastAsia="zh-CN" w:bidi="ar-SA"/>
        </w:rPr>
        <w:t>土壤及地下水</w:t>
      </w:r>
      <w:r>
        <w:rPr>
          <w:rFonts w:hint="eastAsia" w:ascii="Times New Roman" w:hAnsi="Times New Roman" w:eastAsia="仿宋_GB2312" w:cs="Times New Roman"/>
          <w:color w:val="auto"/>
          <w:kern w:val="2"/>
          <w:sz w:val="24"/>
          <w:szCs w:val="24"/>
          <w:lang w:val="en-US" w:eastAsia="zh-CN" w:bidi="ar-SA"/>
        </w:rPr>
        <w:t>环境事件发生时，公司应急组织机构在认真落实各项应急处置措施的同时，充分利用社会资源，发挥政府行业、部门及社会资源优势，共同应对突发土壤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环境污染事件。</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jc w:val="center"/>
        <w:textAlignment w:val="auto"/>
        <w:rPr>
          <w:rFonts w:eastAsia="黑体" w:cs="Times New Roman"/>
          <w:b/>
          <w:sz w:val="32"/>
          <w:szCs w:val="32"/>
          <w:lang w:val="en-US"/>
        </w:rPr>
      </w:pPr>
      <w:bookmarkStart w:id="29" w:name="_Toc32347"/>
      <w:bookmarkStart w:id="30" w:name="_Toc22314"/>
      <w:r>
        <w:rPr>
          <w:rFonts w:eastAsia="黑体" w:cs="Times New Roman"/>
          <w:b/>
          <w:sz w:val="32"/>
          <w:szCs w:val="32"/>
          <w:lang w:val="en-US"/>
        </w:rPr>
        <w:t>第二章 基本情况</w:t>
      </w:r>
      <w:bookmarkEnd w:id="29"/>
      <w:bookmarkEnd w:id="30"/>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31" w:name="_bookmark7"/>
      <w:bookmarkEnd w:id="31"/>
      <w:bookmarkStart w:id="32" w:name="2.1 企业简介"/>
      <w:bookmarkEnd w:id="32"/>
      <w:bookmarkStart w:id="33" w:name="_Toc9534"/>
      <w:bookmarkStart w:id="34" w:name="_Toc5410"/>
      <w:r>
        <w:rPr>
          <w:rFonts w:hint="eastAsia" w:ascii="Times New Roman" w:hAnsi="Times New Roman" w:eastAsia="黑体" w:cs="Times New Roman"/>
          <w:color w:val="auto"/>
          <w:kern w:val="2"/>
          <w:sz w:val="28"/>
          <w:szCs w:val="28"/>
          <w:lang w:val="en-US" w:eastAsia="zh-CN" w:bidi="ar-SA"/>
        </w:rPr>
        <w:t>2.1企业简介</w:t>
      </w:r>
      <w:bookmarkEnd w:id="33"/>
      <w:bookmarkEnd w:id="34"/>
    </w:p>
    <w:p>
      <w:pPr>
        <w:spacing w:line="360" w:lineRule="auto"/>
        <w:ind w:firstLine="480" w:firstLineChars="200"/>
        <w:rPr>
          <w:rFonts w:eastAsia="仿宋" w:cs="Times New Roman"/>
        </w:rPr>
      </w:pPr>
      <w:r>
        <w:rPr>
          <w:rFonts w:hint="eastAsia" w:eastAsia="仿宋" w:cs="Times New Roman"/>
        </w:rPr>
        <w:t>双狮（张家港）精细化工有限公司成立于2003年，是苏州精细化工有限公司按照苏州市委、市政府化工退城进区工作要求在张家港扬子江国际化工园设立的中外合资企业。公司占地925余亩，主要生产装置有年产230万吨硫磺制酸、24.5万吨氯碱、5万吨氯磺酸、10.3万千瓦余热发电机组；另建有5万吨国际液体码头、7万吨国际固体码头和500吨内港池码头的物流设施，形成了以生产基本化工原料为主配套现代化物流的大型化工企业，2018年实现销售收入12.7亿元，利税1.4亿元，成为张家港市百强骨干企业。</w:t>
      </w:r>
    </w:p>
    <w:p>
      <w:pPr>
        <w:spacing w:line="360" w:lineRule="auto"/>
        <w:ind w:firstLine="480" w:firstLineChars="200"/>
        <w:rPr>
          <w:rFonts w:eastAsia="仿宋" w:cs="Times New Roman"/>
        </w:rPr>
      </w:pPr>
      <w:r>
        <w:rPr>
          <w:rFonts w:hint="eastAsia" w:eastAsia="仿宋" w:cs="Times New Roman"/>
        </w:rPr>
        <w:t>目前公司共设了两期项目的建设：一期建设内容为长江码头工程、100万吨/年硫酸工程、50000kW 的余热发电机组、9.5万吨/年氯系列产品化工生产装置。二期建设内容为130万吨/年硫酸工程、15万吨有机氯系列化工产品、5万吨氯磺酸项目、50MW热电项目。</w:t>
      </w:r>
    </w:p>
    <w:p>
      <w:pPr>
        <w:spacing w:line="360" w:lineRule="auto"/>
        <w:ind w:firstLine="480" w:firstLineChars="200"/>
        <w:rPr>
          <w:rFonts w:eastAsia="仿宋" w:cs="Times New Roman"/>
        </w:rPr>
      </w:pPr>
      <w:r>
        <w:rPr>
          <w:rFonts w:hint="eastAsia" w:eastAsia="仿宋" w:cs="Times New Roman"/>
        </w:rPr>
        <w:t>公司运行的硫磺制酸生产系统采用的是美国最先进的孟山都低温回收技术；氯碱生产系统采用的是日本旭化成离子膜氯碱技术、瑞士博特浓缩技术，并引进意大利SET公司的先进降膜蒸发工艺技术；发电系统采用的是德国西门子余热发电技术，使生产技术进入国际先进行列，有力保障了产品质量的稳定和高效的能源利用。</w:t>
      </w:r>
    </w:p>
    <w:p>
      <w:pPr>
        <w:spacing w:line="360" w:lineRule="auto"/>
        <w:ind w:firstLine="480" w:firstLineChars="200"/>
        <w:rPr>
          <w:rFonts w:eastAsia="仿宋" w:cs="Times New Roman"/>
        </w:rPr>
      </w:pPr>
      <w:r>
        <w:rPr>
          <w:rFonts w:hint="eastAsia" w:eastAsia="仿宋" w:cs="Times New Roman"/>
        </w:rPr>
        <w:t>目前各期项目均已通过审批并通过环保验收。</w:t>
      </w:r>
    </w:p>
    <w:p>
      <w:pPr>
        <w:spacing w:line="360" w:lineRule="auto"/>
        <w:ind w:firstLine="480" w:firstLineChars="200"/>
        <w:rPr>
          <w:rFonts w:eastAsia="仿宋" w:cs="Times New Roman"/>
        </w:rPr>
      </w:pPr>
      <w:r>
        <w:rPr>
          <w:rFonts w:hint="eastAsia" w:eastAsia="仿宋" w:cs="Times New Roman"/>
        </w:rPr>
        <w:t>公司现有员工人数为423人，其中专职安全管理员12人；生产班次实施三班制，每班8小时，年工作时间8000小时；厂区设职工食堂和职工宿舍。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zh-CN" w:eastAsia="zh-CN" w:bidi="ar-SA"/>
        </w:rPr>
        <w:t>双狮（张家港）精细化工有限公司基本情况汇总见表 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kern w:val="2"/>
          <w:sz w:val="21"/>
          <w:szCs w:val="21"/>
          <w:lang w:val="en-US" w:eastAsia="zh-CN" w:bidi="ar-SA"/>
        </w:rPr>
      </w:pPr>
      <w:r>
        <w:rPr>
          <w:rFonts w:hint="default" w:ascii="Times New Roman" w:hAnsi="Times New Roman" w:eastAsia="黑体" w:cs="Times New Roman"/>
          <w:b/>
          <w:bCs/>
          <w:color w:val="auto"/>
          <w:kern w:val="2"/>
          <w:sz w:val="21"/>
          <w:szCs w:val="21"/>
          <w:lang w:val="en-US" w:eastAsia="zh-CN" w:bidi="ar-SA"/>
        </w:rPr>
        <w:t>表 2-1</w:t>
      </w:r>
      <w:r>
        <w:rPr>
          <w:rFonts w:hint="default" w:ascii="Times New Roman" w:hAnsi="Times New Roman" w:eastAsia="黑体" w:cs="Times New Roman"/>
          <w:b/>
          <w:bCs/>
          <w:color w:val="auto"/>
          <w:kern w:val="2"/>
          <w:sz w:val="21"/>
          <w:szCs w:val="21"/>
          <w:lang w:val="en-US" w:eastAsia="zh-CN" w:bidi="ar-SA"/>
        </w:rPr>
        <w:tab/>
      </w:r>
      <w:r>
        <w:rPr>
          <w:rFonts w:hint="default" w:ascii="Times New Roman" w:hAnsi="Times New Roman" w:eastAsia="黑体" w:cs="Times New Roman"/>
          <w:b/>
          <w:bCs/>
          <w:color w:val="auto"/>
          <w:kern w:val="2"/>
          <w:sz w:val="21"/>
          <w:szCs w:val="21"/>
          <w:lang w:val="en-US" w:eastAsia="zh-CN" w:bidi="ar-SA"/>
        </w:rPr>
        <w:t>厂区基本情况汇总表</w:t>
      </w:r>
    </w:p>
    <w:tbl>
      <w:tblPr>
        <w:tblStyle w:val="201"/>
        <w:tblW w:w="5000" w:type="pct"/>
        <w:tblInd w:w="0" w:type="dxa"/>
        <w:tblLayout w:type="autofit"/>
        <w:tblCellMar>
          <w:top w:w="0" w:type="dxa"/>
          <w:left w:w="0" w:type="dxa"/>
          <w:bottom w:w="0" w:type="dxa"/>
          <w:right w:w="0" w:type="dxa"/>
        </w:tblCellMar>
      </w:tblPr>
      <w:tblGrid>
        <w:gridCol w:w="1476"/>
        <w:gridCol w:w="4522"/>
        <w:gridCol w:w="1671"/>
        <w:gridCol w:w="2101"/>
      </w:tblGrid>
      <w:tr>
        <w:tblPrEx>
          <w:tblCellMar>
            <w:top w:w="0" w:type="dxa"/>
            <w:left w:w="0" w:type="dxa"/>
            <w:bottom w:w="0" w:type="dxa"/>
            <w:right w:w="0" w:type="dxa"/>
          </w:tblCellMar>
        </w:tblPrEx>
        <w:trPr>
          <w:trHeight w:val="411" w:hRule="exact"/>
        </w:trPr>
        <w:tc>
          <w:tcPr>
            <w:tcW w:w="756" w:type="pct"/>
            <w:tcBorders>
              <w:top w:val="single" w:color="000000" w:sz="12"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bookmarkStart w:id="35" w:name="_bookmark8"/>
            <w:bookmarkEnd w:id="35"/>
            <w:bookmarkStart w:id="36" w:name="2.2 区域环境状况"/>
            <w:bookmarkEnd w:id="36"/>
            <w:bookmarkStart w:id="37" w:name="表2-1  锦丰厂区基本情况汇总表"/>
            <w:bookmarkEnd w:id="37"/>
            <w:bookmarkStart w:id="38" w:name="_Toc20361"/>
            <w:r>
              <w:rPr>
                <w:rFonts w:hint="default" w:ascii="Times New Roman" w:hAnsi="Times New Roman" w:eastAsia="仿宋"/>
                <w:kern w:val="0"/>
                <w:sz w:val="21"/>
                <w:szCs w:val="21"/>
                <w:lang w:eastAsia="en-US"/>
              </w:rPr>
              <w:t>单位名称</w:t>
            </w:r>
          </w:p>
        </w:tc>
        <w:tc>
          <w:tcPr>
            <w:tcW w:w="4244" w:type="pct"/>
            <w:gridSpan w:val="3"/>
            <w:tcBorders>
              <w:top w:val="single" w:color="000000" w:sz="12" w:space="0"/>
              <w:left w:val="single" w:color="000000" w:sz="4" w:space="0"/>
              <w:bottom w:val="single" w:color="000000" w:sz="4" w:space="0"/>
              <w:right w:val="single" w:color="000000" w:sz="12" w:space="0"/>
            </w:tcBorders>
            <w:vAlign w:val="center"/>
          </w:tcPr>
          <w:p>
            <w:pPr>
              <w:pStyle w:val="204"/>
              <w:autoSpaceDE w:val="0"/>
              <w:autoSpaceDN w:val="0"/>
              <w:rPr>
                <w:rFonts w:hint="default" w:ascii="Times New Roman" w:hAnsi="Times New Roman" w:eastAsia="仿宋"/>
                <w:kern w:val="0"/>
                <w:sz w:val="21"/>
                <w:szCs w:val="21"/>
                <w:lang w:eastAsia="zh-CN"/>
              </w:rPr>
            </w:pPr>
            <w:r>
              <w:rPr>
                <w:rFonts w:hint="default" w:ascii="Times New Roman" w:hAnsi="Times New Roman" w:eastAsia="仿宋"/>
                <w:kern w:val="0"/>
                <w:sz w:val="21"/>
                <w:szCs w:val="21"/>
                <w:lang w:eastAsia="zh-CN"/>
              </w:rPr>
              <w:t>双狮（张家港）精细化工有限公司</w:t>
            </w:r>
          </w:p>
        </w:tc>
      </w:tr>
      <w:tr>
        <w:trPr>
          <w:trHeight w:val="454"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单位地址</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zh-CN"/>
              </w:rPr>
            </w:pPr>
            <w:r>
              <w:rPr>
                <w:rFonts w:hint="default" w:ascii="Times New Roman" w:hAnsi="Times New Roman" w:eastAsia="仿宋"/>
                <w:kern w:val="0"/>
                <w:sz w:val="21"/>
                <w:szCs w:val="21"/>
                <w:lang w:eastAsia="zh-CN"/>
              </w:rPr>
              <w:t>江苏扬子江国际化学工业园长江北路</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所在市</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张家港市</w:t>
            </w:r>
          </w:p>
        </w:tc>
      </w:tr>
      <w:tr>
        <w:tblPrEx>
          <w:tblCellMar>
            <w:top w:w="0" w:type="dxa"/>
            <w:left w:w="0" w:type="dxa"/>
            <w:bottom w:w="0" w:type="dxa"/>
            <w:right w:w="0" w:type="dxa"/>
          </w:tblCellMar>
        </w:tblPrEx>
        <w:trPr>
          <w:trHeight w:val="659"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企业性质</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中外合资</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spacing w:line="28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所在街道</w:t>
            </w:r>
          </w:p>
          <w:p>
            <w:pPr>
              <w:pStyle w:val="204"/>
              <w:autoSpaceDE w:val="0"/>
              <w:autoSpaceDN w:val="0"/>
              <w:spacing w:line="28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（镇）</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金港镇</w:t>
            </w:r>
          </w:p>
        </w:tc>
      </w:tr>
      <w:tr>
        <w:tblPrEx>
          <w:tblCellMar>
            <w:top w:w="0" w:type="dxa"/>
            <w:left w:w="0" w:type="dxa"/>
            <w:bottom w:w="0" w:type="dxa"/>
            <w:right w:w="0" w:type="dxa"/>
          </w:tblCellMar>
        </w:tblPrEx>
        <w:trPr>
          <w:trHeight w:val="427"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法人代表</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徐建荣</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邮政编码</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spacing w:line="36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215634</w:t>
            </w:r>
          </w:p>
        </w:tc>
      </w:tr>
      <w:tr>
        <w:tblPrEx>
          <w:tblCellMar>
            <w:top w:w="0" w:type="dxa"/>
            <w:left w:w="0" w:type="dxa"/>
            <w:bottom w:w="0" w:type="dxa"/>
            <w:right w:w="0" w:type="dxa"/>
          </w:tblCellMar>
        </w:tblPrEx>
        <w:trPr>
          <w:trHeight w:val="429"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联系电话</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spacing w:line="36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0512-58727302</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职工人数</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spacing w:line="36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423</w:t>
            </w:r>
          </w:p>
        </w:tc>
      </w:tr>
      <w:tr>
        <w:tblPrEx>
          <w:tblCellMar>
            <w:top w:w="0" w:type="dxa"/>
            <w:left w:w="0" w:type="dxa"/>
            <w:bottom w:w="0" w:type="dxa"/>
            <w:right w:w="0" w:type="dxa"/>
          </w:tblCellMar>
        </w:tblPrEx>
        <w:trPr>
          <w:trHeight w:val="421"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企业规模</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中型</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占地面积</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spacing w:line="367"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925</w:t>
            </w:r>
            <w:r>
              <w:rPr>
                <w:rFonts w:ascii="Times New Roman" w:hAnsi="Times New Roman" w:eastAsia="仿宋"/>
                <w:kern w:val="0"/>
                <w:sz w:val="21"/>
                <w:szCs w:val="21"/>
                <w:lang w:eastAsia="en-US"/>
              </w:rPr>
              <w:t>亩</w:t>
            </w:r>
          </w:p>
        </w:tc>
      </w:tr>
      <w:tr>
        <w:tblPrEx>
          <w:tblCellMar>
            <w:top w:w="0" w:type="dxa"/>
            <w:left w:w="0" w:type="dxa"/>
            <w:bottom w:w="0" w:type="dxa"/>
            <w:right w:w="0" w:type="dxa"/>
          </w:tblCellMar>
        </w:tblPrEx>
        <w:trPr>
          <w:trHeight w:val="345"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联系人</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spacing w:line="260" w:lineRule="exact"/>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司晓燕</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所属行业</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spacing w:line="192" w:lineRule="auto"/>
              <w:rPr>
                <w:rFonts w:hint="default" w:ascii="Times New Roman" w:hAnsi="Times New Roman" w:eastAsia="仿宋"/>
                <w:kern w:val="0"/>
                <w:sz w:val="21"/>
                <w:szCs w:val="21"/>
                <w:lang w:eastAsia="en-US"/>
              </w:rPr>
            </w:pPr>
            <w:r>
              <w:rPr>
                <w:rFonts w:hint="default" w:ascii="Times New Roman" w:hAnsi="Times New Roman" w:eastAsia="仿宋"/>
                <w:w w:val="95"/>
                <w:kern w:val="0"/>
                <w:sz w:val="21"/>
                <w:szCs w:val="21"/>
                <w:lang w:eastAsia="en-US"/>
              </w:rPr>
              <w:t>C2611无机酸制</w:t>
            </w:r>
            <w:r>
              <w:rPr>
                <w:rFonts w:hint="default" w:ascii="Times New Roman" w:hAnsi="Times New Roman" w:eastAsia="仿宋"/>
                <w:spacing w:val="-108"/>
                <w:w w:val="95"/>
                <w:kern w:val="0"/>
                <w:sz w:val="21"/>
                <w:szCs w:val="21"/>
                <w:lang w:eastAsia="en-US"/>
              </w:rPr>
              <w:t xml:space="preserve"> </w:t>
            </w:r>
            <w:r>
              <w:rPr>
                <w:rFonts w:hint="default" w:ascii="Times New Roman" w:hAnsi="Times New Roman" w:eastAsia="仿宋"/>
                <w:kern w:val="0"/>
                <w:sz w:val="21"/>
                <w:szCs w:val="21"/>
                <w:lang w:eastAsia="en-US"/>
              </w:rPr>
              <w:t>造</w:t>
            </w:r>
          </w:p>
        </w:tc>
      </w:tr>
      <w:tr>
        <w:tblPrEx>
          <w:tblCellMar>
            <w:top w:w="0" w:type="dxa"/>
            <w:left w:w="0" w:type="dxa"/>
            <w:bottom w:w="0" w:type="dxa"/>
            <w:right w:w="0" w:type="dxa"/>
          </w:tblCellMar>
        </w:tblPrEx>
        <w:trPr>
          <w:trHeight w:val="420"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地形地貌</w:t>
            </w:r>
          </w:p>
        </w:tc>
        <w:tc>
          <w:tcPr>
            <w:tcW w:w="2314"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spacing w:line="192" w:lineRule="auto"/>
              <w:rPr>
                <w:rFonts w:hint="default" w:ascii="Times New Roman" w:hAnsi="Times New Roman" w:eastAsia="仿宋"/>
                <w:kern w:val="0"/>
                <w:sz w:val="21"/>
                <w:szCs w:val="21"/>
                <w:lang w:eastAsia="zh-CN"/>
              </w:rPr>
            </w:pPr>
            <w:r>
              <w:rPr>
                <w:rFonts w:hint="default" w:ascii="Times New Roman" w:hAnsi="Times New Roman" w:eastAsia="仿宋"/>
                <w:kern w:val="0"/>
                <w:sz w:val="21"/>
                <w:szCs w:val="21"/>
                <w:lang w:eastAsia="zh-CN"/>
              </w:rPr>
              <w:t>长江中下游冲积平原区</w:t>
            </w:r>
          </w:p>
        </w:tc>
        <w:tc>
          <w:tcPr>
            <w:tcW w:w="855" w:type="pct"/>
            <w:tcBorders>
              <w:top w:val="single" w:color="000000" w:sz="4" w:space="0"/>
              <w:left w:val="single" w:color="000000" w:sz="4"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历史事故</w:t>
            </w:r>
          </w:p>
        </w:tc>
        <w:tc>
          <w:tcPr>
            <w:tcW w:w="1074" w:type="pct"/>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rPr>
                <w:rFonts w:hint="default" w:ascii="Times New Roman" w:hAnsi="Times New Roman" w:eastAsia="仿宋"/>
                <w:kern w:val="0"/>
                <w:sz w:val="21"/>
                <w:szCs w:val="21"/>
                <w:lang w:eastAsia="en-US"/>
              </w:rPr>
            </w:pPr>
            <w:r>
              <w:rPr>
                <w:rFonts w:hint="default" w:ascii="Times New Roman" w:hAnsi="Times New Roman" w:eastAsia="仿宋"/>
                <w:kern w:val="0"/>
                <w:sz w:val="21"/>
                <w:szCs w:val="21"/>
                <w:lang w:eastAsia="en-US"/>
              </w:rPr>
              <w:t>无</w:t>
            </w:r>
          </w:p>
        </w:tc>
      </w:tr>
      <w:tr>
        <w:tblPrEx>
          <w:tblCellMar>
            <w:top w:w="0" w:type="dxa"/>
            <w:left w:w="0" w:type="dxa"/>
            <w:bottom w:w="0" w:type="dxa"/>
            <w:right w:w="0" w:type="dxa"/>
          </w:tblCellMar>
        </w:tblPrEx>
        <w:trPr>
          <w:trHeight w:val="3129"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ascii="Times New Roman" w:hAnsi="Times New Roman" w:eastAsia="仿宋"/>
                <w:kern w:val="0"/>
                <w:sz w:val="21"/>
                <w:szCs w:val="21"/>
                <w:lang w:eastAsia="en-US"/>
              </w:rPr>
              <w:t>主要产品及产能</w:t>
            </w:r>
          </w:p>
        </w:tc>
        <w:tc>
          <w:tcPr>
            <w:tcW w:w="4244" w:type="pct"/>
            <w:gridSpan w:val="3"/>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spacing w:line="365" w:lineRule="exact"/>
              <w:jc w:val="both"/>
              <w:rPr>
                <w:rFonts w:hint="default" w:ascii="Times New Roman" w:hAnsi="Times New Roman" w:eastAsia="仿宋"/>
                <w:spacing w:val="-5"/>
                <w:kern w:val="0"/>
                <w:sz w:val="21"/>
                <w:szCs w:val="21"/>
                <w:lang w:eastAsia="zh-CN"/>
              </w:rPr>
            </w:pPr>
            <w:r>
              <w:rPr>
                <w:rFonts w:ascii="Times New Roman" w:hAnsi="Times New Roman" w:eastAsia="仿宋"/>
                <w:spacing w:val="-5"/>
                <w:kern w:val="0"/>
                <w:sz w:val="21"/>
                <w:szCs w:val="21"/>
                <w:lang w:eastAsia="zh-CN"/>
              </w:rPr>
              <w:t>一期氯系列产品项目：32%烧碱（折百）7万吨/年、液氯4.92万吨/年、31%盐酸（折百）2.79万吨/年、13%次氯酸钠（折百）0.65万吨/年、48%烧碱（折百）2万吨/年；</w:t>
            </w:r>
          </w:p>
          <w:p>
            <w:pPr>
              <w:pStyle w:val="204"/>
              <w:autoSpaceDE w:val="0"/>
              <w:autoSpaceDN w:val="0"/>
              <w:spacing w:line="365" w:lineRule="exact"/>
              <w:jc w:val="both"/>
              <w:rPr>
                <w:rFonts w:hint="default" w:ascii="Times New Roman" w:hAnsi="Times New Roman" w:eastAsia="仿宋"/>
                <w:spacing w:val="-5"/>
                <w:kern w:val="0"/>
                <w:sz w:val="21"/>
                <w:szCs w:val="21"/>
                <w:lang w:eastAsia="zh-CN"/>
              </w:rPr>
            </w:pPr>
            <w:r>
              <w:rPr>
                <w:rFonts w:ascii="Times New Roman" w:hAnsi="Times New Roman" w:eastAsia="仿宋"/>
                <w:spacing w:val="-5"/>
                <w:kern w:val="0"/>
                <w:sz w:val="21"/>
                <w:szCs w:val="21"/>
                <w:lang w:eastAsia="zh-CN"/>
              </w:rPr>
              <w:t>一期硫酸项目：硫酸（折百）100万吨/年；</w:t>
            </w:r>
          </w:p>
          <w:p>
            <w:pPr>
              <w:pStyle w:val="204"/>
              <w:autoSpaceDE w:val="0"/>
              <w:autoSpaceDN w:val="0"/>
              <w:spacing w:line="365" w:lineRule="exact"/>
              <w:jc w:val="both"/>
              <w:rPr>
                <w:rFonts w:hint="default" w:ascii="Times New Roman" w:hAnsi="Times New Roman" w:eastAsia="仿宋"/>
                <w:spacing w:val="-5"/>
                <w:kern w:val="0"/>
                <w:sz w:val="21"/>
                <w:szCs w:val="21"/>
                <w:lang w:eastAsia="zh-CN"/>
              </w:rPr>
            </w:pPr>
            <w:r>
              <w:rPr>
                <w:rFonts w:ascii="Times New Roman" w:hAnsi="Times New Roman" w:eastAsia="仿宋"/>
                <w:spacing w:val="-5"/>
                <w:kern w:val="0"/>
                <w:sz w:val="21"/>
                <w:szCs w:val="21"/>
                <w:lang w:eastAsia="zh-CN"/>
              </w:rPr>
              <w:t>二期氯系列产品项目：48%烧碱（折百）12万吨/年、32%烧碱（折百）3万吨/年、液氯11.4万吨/年、13%次氯酸钠（折百）0.78万吨/年、31%高纯盐酸（折百）1.55万吨/年、氢气0.34万吨/年；</w:t>
            </w:r>
          </w:p>
          <w:p>
            <w:pPr>
              <w:pStyle w:val="204"/>
              <w:autoSpaceDE w:val="0"/>
              <w:autoSpaceDN w:val="0"/>
              <w:spacing w:line="365" w:lineRule="exact"/>
              <w:jc w:val="both"/>
              <w:rPr>
                <w:rFonts w:hint="default" w:ascii="Times New Roman" w:hAnsi="Times New Roman" w:eastAsia="仿宋"/>
                <w:spacing w:val="-5"/>
                <w:kern w:val="0"/>
                <w:sz w:val="21"/>
                <w:szCs w:val="21"/>
                <w:lang w:eastAsia="zh-CN"/>
              </w:rPr>
            </w:pPr>
            <w:r>
              <w:rPr>
                <w:rFonts w:ascii="Times New Roman" w:hAnsi="Times New Roman" w:eastAsia="仿宋"/>
                <w:spacing w:val="-5"/>
                <w:kern w:val="0"/>
                <w:sz w:val="21"/>
                <w:szCs w:val="21"/>
                <w:lang w:eastAsia="zh-CN"/>
              </w:rPr>
              <w:t>二期氯磺酸项目：氯磺酸5万吨/年、副产98%硫酸（折百）0.26万吨/年、副产31%盐酸（折百）0.01万吨/年；</w:t>
            </w:r>
          </w:p>
          <w:p>
            <w:pPr>
              <w:pStyle w:val="204"/>
              <w:autoSpaceDE w:val="0"/>
              <w:autoSpaceDN w:val="0"/>
              <w:spacing w:line="365" w:lineRule="exact"/>
              <w:jc w:val="both"/>
              <w:rPr>
                <w:rFonts w:hint="default" w:ascii="Times New Roman" w:hAnsi="Times New Roman" w:eastAsia="仿宋"/>
                <w:kern w:val="0"/>
                <w:sz w:val="21"/>
                <w:szCs w:val="21"/>
                <w:lang w:eastAsia="zh-CN"/>
              </w:rPr>
            </w:pPr>
            <w:r>
              <w:rPr>
                <w:rFonts w:ascii="Times New Roman" w:hAnsi="Times New Roman" w:eastAsia="仿宋"/>
                <w:spacing w:val="-5"/>
                <w:kern w:val="0"/>
                <w:sz w:val="21"/>
                <w:szCs w:val="21"/>
                <w:lang w:eastAsia="zh-CN"/>
              </w:rPr>
              <w:t>二期硫酸项目：硫酸（折百）130万吨/年硫磺制酸建设项目；</w:t>
            </w:r>
          </w:p>
        </w:tc>
      </w:tr>
      <w:tr>
        <w:tblPrEx>
          <w:tblCellMar>
            <w:top w:w="0" w:type="dxa"/>
            <w:left w:w="0" w:type="dxa"/>
            <w:bottom w:w="0" w:type="dxa"/>
            <w:right w:w="0" w:type="dxa"/>
          </w:tblCellMar>
        </w:tblPrEx>
        <w:trPr>
          <w:trHeight w:val="461" w:hRule="exact"/>
        </w:trPr>
        <w:tc>
          <w:tcPr>
            <w:tcW w:w="756" w:type="pct"/>
            <w:tcBorders>
              <w:top w:val="single" w:color="000000" w:sz="4" w:space="0"/>
              <w:left w:val="single" w:color="000000" w:sz="12" w:space="0"/>
              <w:bottom w:val="single" w:color="000000" w:sz="4"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ascii="Times New Roman" w:hAnsi="Times New Roman" w:eastAsia="仿宋"/>
                <w:kern w:val="0"/>
                <w:sz w:val="21"/>
                <w:szCs w:val="21"/>
                <w:lang w:eastAsia="en-US"/>
              </w:rPr>
              <w:t>主要原辅材料</w:t>
            </w:r>
          </w:p>
        </w:tc>
        <w:tc>
          <w:tcPr>
            <w:tcW w:w="4244" w:type="pct"/>
            <w:gridSpan w:val="3"/>
            <w:tcBorders>
              <w:top w:val="single" w:color="000000" w:sz="4" w:space="0"/>
              <w:left w:val="single" w:color="000000" w:sz="4" w:space="0"/>
              <w:bottom w:val="single" w:color="000000" w:sz="4" w:space="0"/>
              <w:right w:val="single" w:color="000000" w:sz="12" w:space="0"/>
            </w:tcBorders>
            <w:vAlign w:val="center"/>
          </w:tcPr>
          <w:p>
            <w:pPr>
              <w:pStyle w:val="204"/>
              <w:autoSpaceDE w:val="0"/>
              <w:autoSpaceDN w:val="0"/>
              <w:rPr>
                <w:rFonts w:hint="default" w:ascii="Times New Roman" w:hAnsi="Times New Roman" w:eastAsia="仿宋"/>
                <w:kern w:val="0"/>
                <w:sz w:val="21"/>
                <w:szCs w:val="21"/>
                <w:lang w:eastAsia="zh-CN"/>
              </w:rPr>
            </w:pPr>
            <w:r>
              <w:rPr>
                <w:rFonts w:ascii="Times New Roman" w:hAnsi="Times New Roman" w:eastAsia="仿宋"/>
                <w:kern w:val="0"/>
                <w:sz w:val="21"/>
                <w:szCs w:val="21"/>
                <w:lang w:eastAsia="zh-CN"/>
              </w:rPr>
              <w:t>工业盐、液体硫磺、盐酸、纯碱、亚硫酸钠、硫酸等</w:t>
            </w:r>
          </w:p>
        </w:tc>
      </w:tr>
      <w:tr>
        <w:tblPrEx>
          <w:tblCellMar>
            <w:top w:w="0" w:type="dxa"/>
            <w:left w:w="0" w:type="dxa"/>
            <w:bottom w:w="0" w:type="dxa"/>
            <w:right w:w="0" w:type="dxa"/>
          </w:tblCellMar>
        </w:tblPrEx>
        <w:trPr>
          <w:trHeight w:val="2513" w:hRule="exact"/>
        </w:trPr>
        <w:tc>
          <w:tcPr>
            <w:tcW w:w="756" w:type="pct"/>
            <w:tcBorders>
              <w:top w:val="single" w:color="000000" w:sz="4" w:space="0"/>
              <w:left w:val="single" w:color="000000" w:sz="12" w:space="0"/>
              <w:bottom w:val="single" w:color="000000" w:sz="12" w:space="0"/>
              <w:right w:val="single" w:color="000000" w:sz="4" w:space="0"/>
            </w:tcBorders>
            <w:vAlign w:val="center"/>
          </w:tcPr>
          <w:p>
            <w:pPr>
              <w:pStyle w:val="204"/>
              <w:autoSpaceDE w:val="0"/>
              <w:autoSpaceDN w:val="0"/>
              <w:rPr>
                <w:rFonts w:hint="default" w:ascii="Times New Roman" w:hAnsi="Times New Roman" w:eastAsia="仿宋"/>
                <w:kern w:val="0"/>
                <w:sz w:val="21"/>
                <w:szCs w:val="21"/>
                <w:lang w:eastAsia="en-US"/>
              </w:rPr>
            </w:pPr>
            <w:r>
              <w:rPr>
                <w:rFonts w:ascii="Times New Roman" w:hAnsi="Times New Roman" w:eastAsia="仿宋"/>
                <w:kern w:val="0"/>
                <w:sz w:val="21"/>
                <w:szCs w:val="21"/>
                <w:lang w:eastAsia="en-US"/>
              </w:rPr>
              <w:t>主要装置设施</w:t>
            </w:r>
          </w:p>
        </w:tc>
        <w:tc>
          <w:tcPr>
            <w:tcW w:w="4244" w:type="pct"/>
            <w:gridSpan w:val="3"/>
            <w:tcBorders>
              <w:top w:val="single" w:color="000000" w:sz="4" w:space="0"/>
              <w:left w:val="single" w:color="000000" w:sz="4" w:space="0"/>
              <w:bottom w:val="single" w:color="000000" w:sz="12" w:space="0"/>
              <w:right w:val="single" w:color="000000" w:sz="12" w:space="0"/>
            </w:tcBorders>
            <w:vAlign w:val="center"/>
          </w:tcPr>
          <w:p>
            <w:pPr>
              <w:pStyle w:val="204"/>
              <w:autoSpaceDE w:val="0"/>
              <w:autoSpaceDN w:val="0"/>
              <w:jc w:val="both"/>
              <w:rPr>
                <w:rFonts w:hint="default" w:ascii="Times New Roman" w:hAnsi="Times New Roman" w:eastAsia="仿宋"/>
                <w:spacing w:val="-2"/>
                <w:w w:val="95"/>
                <w:kern w:val="0"/>
                <w:sz w:val="21"/>
                <w:szCs w:val="21"/>
                <w:lang w:eastAsia="zh-CN"/>
              </w:rPr>
            </w:pPr>
            <w:r>
              <w:rPr>
                <w:rFonts w:ascii="Times New Roman" w:hAnsi="Times New Roman" w:eastAsia="仿宋"/>
                <w:spacing w:val="-2"/>
                <w:w w:val="95"/>
                <w:kern w:val="0"/>
                <w:sz w:val="21"/>
                <w:szCs w:val="21"/>
                <w:lang w:eastAsia="zh-CN"/>
              </w:rPr>
              <w:t>主要装置：熔硫装置、一次盐水装置、、一期100万硫酸装置、一期电解装置、二期电解装置、一期二次盐水、二期二次盐水、DCS控制室、二期100万吨硫酸装置、氯磺酸装置、一期氯处理、氯压缩、一期液氯储槽和次钠装置、二期液氯储槽和次钠装置、一期氯气液化、二期液化、液氯包装车间、二期氯处理、氢处理及盐酸合成、二期氢处理、48%的液碱装置、30万吨/年硫磺制酸装置；</w:t>
            </w:r>
          </w:p>
          <w:p>
            <w:pPr>
              <w:pStyle w:val="204"/>
              <w:autoSpaceDE w:val="0"/>
              <w:autoSpaceDN w:val="0"/>
              <w:jc w:val="both"/>
              <w:rPr>
                <w:rFonts w:hint="default" w:ascii="Times New Roman" w:hAnsi="Times New Roman" w:eastAsia="仿宋"/>
                <w:spacing w:val="-2"/>
                <w:w w:val="95"/>
                <w:kern w:val="0"/>
                <w:sz w:val="21"/>
                <w:szCs w:val="21"/>
                <w:lang w:eastAsia="zh-CN"/>
              </w:rPr>
            </w:pPr>
            <w:r>
              <w:rPr>
                <w:rFonts w:ascii="Times New Roman" w:hAnsi="Times New Roman" w:eastAsia="仿宋"/>
                <w:spacing w:val="-2"/>
                <w:w w:val="95"/>
                <w:kern w:val="0"/>
                <w:sz w:val="21"/>
                <w:szCs w:val="21"/>
                <w:lang w:eastAsia="zh-CN"/>
              </w:rPr>
              <w:t>主要储存设施：有机物仓库、盐堆场、硫磺堆场、硫酸罐区、液碱罐区、硫磺罐区、液碱库、库区；</w:t>
            </w:r>
          </w:p>
          <w:p>
            <w:pPr>
              <w:pStyle w:val="204"/>
              <w:autoSpaceDE w:val="0"/>
              <w:autoSpaceDN w:val="0"/>
              <w:jc w:val="both"/>
              <w:rPr>
                <w:rFonts w:hint="default" w:ascii="Times New Roman" w:hAnsi="Times New Roman" w:eastAsia="仿宋"/>
                <w:kern w:val="0"/>
                <w:sz w:val="21"/>
                <w:szCs w:val="21"/>
                <w:lang w:eastAsia="zh-CN"/>
              </w:rPr>
            </w:pPr>
            <w:r>
              <w:rPr>
                <w:rFonts w:ascii="Times New Roman" w:hAnsi="Times New Roman" w:eastAsia="仿宋"/>
                <w:spacing w:val="-2"/>
                <w:w w:val="95"/>
                <w:kern w:val="0"/>
                <w:sz w:val="21"/>
                <w:szCs w:val="21"/>
                <w:lang w:eastAsia="zh-CN"/>
              </w:rPr>
              <w:t>主要公用辅助工程：一期循环水、二期循环水、冷冻站、空压站、瓶检、消防水收集池、配电室、消防泵房、氮压机房、汽轮机房。</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表</w:t>
      </w:r>
      <w:r>
        <w:rPr>
          <w:rFonts w:hint="default" w:ascii="Times New Roman" w:hAnsi="Times New Roman" w:eastAsia="黑体" w:cs="Times New Roman"/>
          <w:b/>
          <w:bCs/>
          <w:color w:val="auto"/>
          <w:kern w:val="2"/>
          <w:sz w:val="21"/>
          <w:szCs w:val="21"/>
          <w:lang w:val="en-US" w:eastAsia="zh-CN" w:bidi="ar-SA"/>
        </w:rPr>
        <w:t xml:space="preserve">2-2 </w:t>
      </w:r>
      <w:r>
        <w:rPr>
          <w:rFonts w:hint="eastAsia" w:ascii="Times New Roman" w:hAnsi="Times New Roman" w:eastAsia="黑体" w:cs="Times New Roman"/>
          <w:b/>
          <w:bCs/>
          <w:color w:val="auto"/>
          <w:kern w:val="2"/>
          <w:sz w:val="21"/>
          <w:szCs w:val="21"/>
          <w:lang w:val="en-US" w:eastAsia="zh-CN" w:bidi="ar-SA"/>
        </w:rPr>
        <w:t>环保批复手续一览表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764"/>
        <w:gridCol w:w="1091"/>
        <w:gridCol w:w="1155"/>
        <w:gridCol w:w="717"/>
        <w:gridCol w:w="1091"/>
        <w:gridCol w:w="1161"/>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vMerge w:val="restart"/>
            <w:shd w:val="clear" w:color="auto" w:fill="auto"/>
            <w:vAlign w:val="center"/>
          </w:tcPr>
          <w:p>
            <w:pPr>
              <w:jc w:val="center"/>
              <w:rPr>
                <w:rFonts w:eastAsia="仿宋" w:cs="Times New Roman"/>
                <w:b/>
                <w:sz w:val="21"/>
                <w:szCs w:val="21"/>
              </w:rPr>
            </w:pPr>
            <w:r>
              <w:rPr>
                <w:rFonts w:eastAsia="仿宋" w:cs="Times New Roman"/>
                <w:b/>
                <w:sz w:val="21"/>
                <w:szCs w:val="21"/>
              </w:rPr>
              <w:t>项目名称</w:t>
            </w:r>
          </w:p>
        </w:tc>
        <w:tc>
          <w:tcPr>
            <w:tcW w:w="886" w:type="pct"/>
            <w:vMerge w:val="restart"/>
            <w:shd w:val="clear" w:color="auto" w:fill="auto"/>
            <w:vAlign w:val="center"/>
          </w:tcPr>
          <w:p>
            <w:pPr>
              <w:jc w:val="center"/>
              <w:rPr>
                <w:rFonts w:eastAsia="仿宋" w:cs="Times New Roman"/>
                <w:b/>
                <w:sz w:val="21"/>
                <w:szCs w:val="21"/>
              </w:rPr>
            </w:pPr>
            <w:r>
              <w:rPr>
                <w:rFonts w:eastAsia="仿宋" w:cs="Times New Roman"/>
                <w:b/>
                <w:sz w:val="21"/>
                <w:szCs w:val="21"/>
              </w:rPr>
              <w:t>批复产能</w:t>
            </w:r>
          </w:p>
        </w:tc>
        <w:tc>
          <w:tcPr>
            <w:tcW w:w="1488" w:type="pct"/>
            <w:gridSpan w:val="3"/>
            <w:shd w:val="clear" w:color="auto" w:fill="auto"/>
            <w:vAlign w:val="center"/>
          </w:tcPr>
          <w:p>
            <w:pPr>
              <w:jc w:val="center"/>
              <w:rPr>
                <w:rFonts w:eastAsia="仿宋" w:cs="Times New Roman"/>
                <w:b/>
                <w:sz w:val="21"/>
                <w:szCs w:val="21"/>
              </w:rPr>
            </w:pPr>
            <w:r>
              <w:rPr>
                <w:rFonts w:eastAsia="仿宋" w:cs="Times New Roman"/>
                <w:b/>
                <w:sz w:val="21"/>
                <w:szCs w:val="21"/>
              </w:rPr>
              <w:t>环评批复</w:t>
            </w:r>
          </w:p>
        </w:tc>
        <w:tc>
          <w:tcPr>
            <w:tcW w:w="1575" w:type="pct"/>
            <w:gridSpan w:val="3"/>
            <w:shd w:val="clear" w:color="auto" w:fill="auto"/>
            <w:vAlign w:val="center"/>
          </w:tcPr>
          <w:p>
            <w:pPr>
              <w:jc w:val="center"/>
              <w:rPr>
                <w:rFonts w:eastAsia="仿宋" w:cs="Times New Roman"/>
                <w:b/>
                <w:sz w:val="21"/>
                <w:szCs w:val="21"/>
              </w:rPr>
            </w:pPr>
            <w:r>
              <w:rPr>
                <w:rFonts w:eastAsia="仿宋" w:cs="Times New Roman"/>
                <w:b/>
                <w:sz w:val="21"/>
                <w:szCs w:val="21"/>
              </w:rPr>
              <w:t>三同时验收批复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vMerge w:val="continue"/>
            <w:shd w:val="clear" w:color="auto" w:fill="auto"/>
            <w:vAlign w:val="center"/>
          </w:tcPr>
          <w:p>
            <w:pPr>
              <w:ind w:firstLine="422" w:firstLineChars="200"/>
              <w:jc w:val="center"/>
              <w:rPr>
                <w:rFonts w:eastAsia="仿宋" w:cs="Times New Roman"/>
                <w:b/>
                <w:sz w:val="21"/>
                <w:szCs w:val="21"/>
              </w:rPr>
            </w:pPr>
          </w:p>
        </w:tc>
        <w:tc>
          <w:tcPr>
            <w:tcW w:w="886" w:type="pct"/>
            <w:vMerge w:val="continue"/>
            <w:shd w:val="clear" w:color="auto" w:fill="auto"/>
            <w:vAlign w:val="center"/>
          </w:tcPr>
          <w:p>
            <w:pPr>
              <w:jc w:val="center"/>
              <w:rPr>
                <w:rFonts w:eastAsia="仿宋" w:cs="Times New Roman"/>
                <w:b/>
                <w:sz w:val="21"/>
                <w:szCs w:val="21"/>
              </w:rPr>
            </w:pPr>
          </w:p>
        </w:tc>
        <w:tc>
          <w:tcPr>
            <w:tcW w:w="548" w:type="pct"/>
            <w:shd w:val="clear" w:color="auto" w:fill="auto"/>
            <w:vAlign w:val="center"/>
          </w:tcPr>
          <w:p>
            <w:pPr>
              <w:jc w:val="center"/>
              <w:rPr>
                <w:rFonts w:eastAsia="仿宋" w:cs="Times New Roman"/>
                <w:b/>
                <w:sz w:val="21"/>
                <w:szCs w:val="21"/>
              </w:rPr>
            </w:pPr>
            <w:r>
              <w:rPr>
                <w:rFonts w:eastAsia="仿宋" w:cs="Times New Roman"/>
                <w:b/>
                <w:sz w:val="21"/>
                <w:szCs w:val="21"/>
              </w:rPr>
              <w:t>批复文号</w:t>
            </w:r>
          </w:p>
        </w:tc>
        <w:tc>
          <w:tcPr>
            <w:tcW w:w="580" w:type="pct"/>
            <w:shd w:val="clear" w:color="auto" w:fill="auto"/>
            <w:vAlign w:val="center"/>
          </w:tcPr>
          <w:p>
            <w:pPr>
              <w:jc w:val="center"/>
              <w:rPr>
                <w:rFonts w:eastAsia="仿宋" w:cs="Times New Roman"/>
                <w:b/>
                <w:sz w:val="21"/>
                <w:szCs w:val="21"/>
              </w:rPr>
            </w:pPr>
            <w:r>
              <w:rPr>
                <w:rFonts w:eastAsia="仿宋" w:cs="Times New Roman"/>
                <w:b/>
                <w:sz w:val="21"/>
                <w:szCs w:val="21"/>
              </w:rPr>
              <w:t>批复日期</w:t>
            </w:r>
          </w:p>
        </w:tc>
        <w:tc>
          <w:tcPr>
            <w:tcW w:w="360" w:type="pct"/>
            <w:shd w:val="clear" w:color="auto" w:fill="auto"/>
            <w:vAlign w:val="center"/>
          </w:tcPr>
          <w:p>
            <w:pPr>
              <w:jc w:val="center"/>
              <w:rPr>
                <w:rFonts w:eastAsia="仿宋" w:cs="Times New Roman"/>
                <w:b/>
                <w:sz w:val="21"/>
                <w:szCs w:val="21"/>
              </w:rPr>
            </w:pPr>
            <w:r>
              <w:rPr>
                <w:rFonts w:eastAsia="仿宋" w:cs="Times New Roman"/>
                <w:b/>
                <w:sz w:val="21"/>
                <w:szCs w:val="21"/>
              </w:rPr>
              <w:t>批复部门</w:t>
            </w:r>
          </w:p>
        </w:tc>
        <w:tc>
          <w:tcPr>
            <w:tcW w:w="548" w:type="pct"/>
            <w:shd w:val="clear" w:color="auto" w:fill="auto"/>
            <w:vAlign w:val="center"/>
          </w:tcPr>
          <w:p>
            <w:pPr>
              <w:jc w:val="center"/>
              <w:rPr>
                <w:rFonts w:eastAsia="仿宋" w:cs="Times New Roman"/>
                <w:b/>
                <w:sz w:val="21"/>
                <w:szCs w:val="21"/>
              </w:rPr>
            </w:pPr>
            <w:r>
              <w:rPr>
                <w:rFonts w:eastAsia="仿宋" w:cs="Times New Roman"/>
                <w:b/>
                <w:sz w:val="21"/>
                <w:szCs w:val="21"/>
              </w:rPr>
              <w:t>批复文号</w:t>
            </w:r>
          </w:p>
        </w:tc>
        <w:tc>
          <w:tcPr>
            <w:tcW w:w="583" w:type="pct"/>
            <w:shd w:val="clear" w:color="auto" w:fill="auto"/>
            <w:vAlign w:val="center"/>
          </w:tcPr>
          <w:p>
            <w:pPr>
              <w:jc w:val="center"/>
              <w:rPr>
                <w:rFonts w:eastAsia="仿宋" w:cs="Times New Roman"/>
                <w:b/>
                <w:sz w:val="21"/>
                <w:szCs w:val="21"/>
              </w:rPr>
            </w:pPr>
            <w:r>
              <w:rPr>
                <w:rFonts w:eastAsia="仿宋" w:cs="Times New Roman"/>
                <w:b/>
                <w:sz w:val="21"/>
                <w:szCs w:val="21"/>
              </w:rPr>
              <w:t>批复日期</w:t>
            </w:r>
          </w:p>
        </w:tc>
        <w:tc>
          <w:tcPr>
            <w:tcW w:w="444" w:type="pct"/>
            <w:shd w:val="clear" w:color="auto" w:fill="auto"/>
            <w:vAlign w:val="center"/>
          </w:tcPr>
          <w:p>
            <w:pPr>
              <w:jc w:val="center"/>
              <w:rPr>
                <w:rFonts w:eastAsia="仿宋" w:cs="Times New Roman"/>
                <w:b/>
                <w:sz w:val="21"/>
                <w:szCs w:val="21"/>
              </w:rPr>
            </w:pPr>
            <w:r>
              <w:rPr>
                <w:rFonts w:eastAsia="仿宋" w:cs="Times New Roman"/>
                <w:b/>
                <w:sz w:val="21"/>
                <w:szCs w:val="21"/>
              </w:rPr>
              <w:t>批复部门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shd w:val="clear" w:color="auto" w:fill="auto"/>
            <w:vAlign w:val="center"/>
          </w:tcPr>
          <w:p>
            <w:pPr>
              <w:jc w:val="center"/>
              <w:rPr>
                <w:rFonts w:eastAsia="仿宋" w:cs="Times New Roman"/>
                <w:sz w:val="21"/>
                <w:szCs w:val="21"/>
              </w:rPr>
            </w:pPr>
            <w:r>
              <w:rPr>
                <w:rFonts w:eastAsia="仿宋" w:cs="Times New Roman"/>
                <w:sz w:val="21"/>
                <w:szCs w:val="21"/>
              </w:rPr>
              <w:t>关于对一期100万吨硫磺制酸、50MW/h热电、9.5万吨氯系列产品项目</w:t>
            </w:r>
          </w:p>
        </w:tc>
        <w:tc>
          <w:tcPr>
            <w:tcW w:w="886" w:type="pct"/>
            <w:shd w:val="clear" w:color="auto" w:fill="auto"/>
            <w:vAlign w:val="center"/>
          </w:tcPr>
          <w:p>
            <w:pPr>
              <w:jc w:val="center"/>
              <w:rPr>
                <w:rFonts w:eastAsia="仿宋" w:cs="Times New Roman"/>
                <w:sz w:val="21"/>
                <w:szCs w:val="21"/>
              </w:rPr>
            </w:pPr>
            <w:r>
              <w:rPr>
                <w:rFonts w:eastAsia="仿宋" w:cs="Times New Roman"/>
                <w:sz w:val="21"/>
                <w:szCs w:val="21"/>
              </w:rPr>
              <w:t>100万吨硫酸、9.5万氯系列产品、50MW/h热电</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苏环管（2004）220号</w:t>
            </w:r>
          </w:p>
        </w:tc>
        <w:tc>
          <w:tcPr>
            <w:tcW w:w="580" w:type="pct"/>
            <w:shd w:val="clear" w:color="auto" w:fill="auto"/>
            <w:vAlign w:val="center"/>
          </w:tcPr>
          <w:p>
            <w:pPr>
              <w:jc w:val="center"/>
              <w:rPr>
                <w:rFonts w:eastAsia="仿宋" w:cs="Times New Roman"/>
                <w:sz w:val="21"/>
                <w:szCs w:val="21"/>
              </w:rPr>
            </w:pPr>
            <w:r>
              <w:rPr>
                <w:rFonts w:eastAsia="仿宋" w:cs="Times New Roman"/>
                <w:sz w:val="21"/>
                <w:szCs w:val="21"/>
              </w:rPr>
              <w:t>2004.11.2</w:t>
            </w:r>
          </w:p>
        </w:tc>
        <w:tc>
          <w:tcPr>
            <w:tcW w:w="360" w:type="pct"/>
            <w:shd w:val="clear" w:color="auto" w:fill="auto"/>
            <w:vAlign w:val="center"/>
          </w:tcPr>
          <w:p>
            <w:pPr>
              <w:jc w:val="center"/>
              <w:rPr>
                <w:rFonts w:eastAsia="仿宋" w:cs="Times New Roman"/>
                <w:sz w:val="21"/>
                <w:szCs w:val="21"/>
              </w:rPr>
            </w:pPr>
            <w:r>
              <w:rPr>
                <w:rFonts w:eastAsia="仿宋" w:cs="Times New Roman"/>
                <w:sz w:val="21"/>
                <w:szCs w:val="21"/>
              </w:rPr>
              <w:t>江苏省环保厅</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苏环验[2007]162</w:t>
            </w:r>
          </w:p>
        </w:tc>
        <w:tc>
          <w:tcPr>
            <w:tcW w:w="583" w:type="pct"/>
            <w:shd w:val="clear" w:color="auto" w:fill="auto"/>
            <w:vAlign w:val="center"/>
          </w:tcPr>
          <w:p>
            <w:pPr>
              <w:jc w:val="center"/>
              <w:rPr>
                <w:rFonts w:eastAsia="仿宋" w:cs="Times New Roman"/>
                <w:sz w:val="21"/>
                <w:szCs w:val="21"/>
              </w:rPr>
            </w:pPr>
            <w:r>
              <w:rPr>
                <w:rFonts w:eastAsia="仿宋" w:cs="Times New Roman"/>
                <w:sz w:val="21"/>
                <w:szCs w:val="21"/>
              </w:rPr>
              <w:t>2007.4.25</w:t>
            </w:r>
          </w:p>
        </w:tc>
        <w:tc>
          <w:tcPr>
            <w:tcW w:w="444"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shd w:val="clear" w:color="auto" w:fill="auto"/>
            <w:vAlign w:val="center"/>
          </w:tcPr>
          <w:p>
            <w:pPr>
              <w:jc w:val="center"/>
              <w:rPr>
                <w:rFonts w:eastAsia="仿宋" w:cs="Times New Roman"/>
                <w:sz w:val="21"/>
                <w:szCs w:val="21"/>
              </w:rPr>
            </w:pPr>
            <w:r>
              <w:rPr>
                <w:rFonts w:eastAsia="仿宋" w:cs="Times New Roman"/>
                <w:sz w:val="21"/>
                <w:szCs w:val="21"/>
              </w:rPr>
              <w:t>关于年产15万吨有机氯系列产品之5万吨氯磺酸搬迁项目</w:t>
            </w:r>
          </w:p>
        </w:tc>
        <w:tc>
          <w:tcPr>
            <w:tcW w:w="886" w:type="pct"/>
            <w:shd w:val="clear" w:color="auto" w:fill="auto"/>
            <w:vAlign w:val="center"/>
          </w:tcPr>
          <w:p>
            <w:pPr>
              <w:jc w:val="center"/>
              <w:rPr>
                <w:rFonts w:eastAsia="仿宋" w:cs="Times New Roman"/>
                <w:sz w:val="21"/>
                <w:szCs w:val="21"/>
              </w:rPr>
            </w:pPr>
            <w:r>
              <w:rPr>
                <w:rFonts w:eastAsia="仿宋" w:cs="Times New Roman"/>
                <w:sz w:val="21"/>
                <w:szCs w:val="21"/>
              </w:rPr>
              <w:t>5万吨氯磺酸项目</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苏环建（2007）118号</w:t>
            </w:r>
          </w:p>
        </w:tc>
        <w:tc>
          <w:tcPr>
            <w:tcW w:w="580" w:type="pct"/>
            <w:shd w:val="clear" w:color="auto" w:fill="auto"/>
            <w:vAlign w:val="center"/>
          </w:tcPr>
          <w:p>
            <w:pPr>
              <w:jc w:val="center"/>
              <w:rPr>
                <w:rFonts w:eastAsia="仿宋" w:cs="Times New Roman"/>
                <w:sz w:val="21"/>
                <w:szCs w:val="21"/>
              </w:rPr>
            </w:pPr>
            <w:r>
              <w:rPr>
                <w:rFonts w:eastAsia="仿宋" w:cs="Times New Roman"/>
                <w:sz w:val="21"/>
                <w:szCs w:val="21"/>
              </w:rPr>
              <w:t>2007.3.13</w:t>
            </w:r>
          </w:p>
        </w:tc>
        <w:tc>
          <w:tcPr>
            <w:tcW w:w="360"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苏环验[2016]147号</w:t>
            </w:r>
          </w:p>
        </w:tc>
        <w:tc>
          <w:tcPr>
            <w:tcW w:w="583" w:type="pct"/>
            <w:shd w:val="clear" w:color="auto" w:fill="auto"/>
            <w:vAlign w:val="center"/>
          </w:tcPr>
          <w:p>
            <w:pPr>
              <w:jc w:val="center"/>
              <w:rPr>
                <w:rFonts w:eastAsia="仿宋" w:cs="Times New Roman"/>
                <w:sz w:val="21"/>
                <w:szCs w:val="21"/>
              </w:rPr>
            </w:pPr>
            <w:r>
              <w:rPr>
                <w:rFonts w:eastAsia="仿宋" w:cs="Times New Roman"/>
                <w:sz w:val="21"/>
                <w:szCs w:val="21"/>
              </w:rPr>
              <w:t>2016.12.14</w:t>
            </w:r>
          </w:p>
        </w:tc>
        <w:tc>
          <w:tcPr>
            <w:tcW w:w="444"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shd w:val="clear" w:color="auto" w:fill="auto"/>
            <w:vAlign w:val="center"/>
          </w:tcPr>
          <w:p>
            <w:pPr>
              <w:jc w:val="center"/>
              <w:rPr>
                <w:rFonts w:eastAsia="仿宋" w:cs="Times New Roman"/>
                <w:sz w:val="21"/>
                <w:szCs w:val="21"/>
              </w:rPr>
            </w:pPr>
            <w:r>
              <w:rPr>
                <w:rFonts w:eastAsia="仿宋" w:cs="Times New Roman"/>
                <w:sz w:val="21"/>
                <w:szCs w:val="21"/>
              </w:rPr>
              <w:t>关于年产15万吨氯系列产品的环评书批复</w:t>
            </w:r>
          </w:p>
        </w:tc>
        <w:tc>
          <w:tcPr>
            <w:tcW w:w="886" w:type="pct"/>
            <w:shd w:val="clear" w:color="auto" w:fill="auto"/>
            <w:vAlign w:val="center"/>
          </w:tcPr>
          <w:p>
            <w:pPr>
              <w:jc w:val="center"/>
              <w:rPr>
                <w:rFonts w:eastAsia="仿宋" w:cs="Times New Roman"/>
                <w:sz w:val="21"/>
                <w:szCs w:val="21"/>
              </w:rPr>
            </w:pPr>
            <w:r>
              <w:rPr>
                <w:rFonts w:eastAsia="仿宋" w:cs="Times New Roman"/>
                <w:sz w:val="21"/>
                <w:szCs w:val="21"/>
              </w:rPr>
              <w:t>年产烧碱15万吨、液氯11.43万吨、次氯酸钠6万吨、高纯盐酸5万吨、3355吨氢气</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苏环建（2007）129号</w:t>
            </w:r>
          </w:p>
        </w:tc>
        <w:tc>
          <w:tcPr>
            <w:tcW w:w="580" w:type="pct"/>
            <w:shd w:val="clear" w:color="auto" w:fill="auto"/>
            <w:vAlign w:val="center"/>
          </w:tcPr>
          <w:p>
            <w:pPr>
              <w:jc w:val="center"/>
              <w:rPr>
                <w:rFonts w:eastAsia="仿宋" w:cs="Times New Roman"/>
                <w:sz w:val="21"/>
                <w:szCs w:val="21"/>
              </w:rPr>
            </w:pPr>
            <w:r>
              <w:rPr>
                <w:rFonts w:eastAsia="仿宋" w:cs="Times New Roman"/>
                <w:sz w:val="21"/>
                <w:szCs w:val="21"/>
              </w:rPr>
              <w:t>2007.3.14</w:t>
            </w:r>
          </w:p>
        </w:tc>
        <w:tc>
          <w:tcPr>
            <w:tcW w:w="360"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苏环验[2016]149号</w:t>
            </w:r>
          </w:p>
        </w:tc>
        <w:tc>
          <w:tcPr>
            <w:tcW w:w="583" w:type="pct"/>
            <w:shd w:val="clear" w:color="auto" w:fill="auto"/>
            <w:vAlign w:val="center"/>
          </w:tcPr>
          <w:p>
            <w:pPr>
              <w:jc w:val="center"/>
              <w:rPr>
                <w:rFonts w:eastAsia="仿宋" w:cs="Times New Roman"/>
                <w:sz w:val="21"/>
                <w:szCs w:val="21"/>
              </w:rPr>
            </w:pPr>
            <w:r>
              <w:rPr>
                <w:rFonts w:eastAsia="仿宋" w:cs="Times New Roman"/>
                <w:sz w:val="21"/>
                <w:szCs w:val="21"/>
              </w:rPr>
              <w:t>2016.12.14</w:t>
            </w:r>
          </w:p>
        </w:tc>
        <w:tc>
          <w:tcPr>
            <w:tcW w:w="444"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shd w:val="clear" w:color="auto" w:fill="auto"/>
            <w:vAlign w:val="center"/>
          </w:tcPr>
          <w:p>
            <w:pPr>
              <w:jc w:val="center"/>
              <w:rPr>
                <w:rFonts w:eastAsia="仿宋" w:cs="Times New Roman"/>
                <w:sz w:val="21"/>
                <w:szCs w:val="21"/>
              </w:rPr>
            </w:pPr>
            <w:r>
              <w:rPr>
                <w:rFonts w:eastAsia="仿宋" w:cs="Times New Roman"/>
                <w:sz w:val="21"/>
                <w:szCs w:val="21"/>
              </w:rPr>
              <w:t>关于130万吨硫磺制酸项目及配套工程的环评书批复</w:t>
            </w:r>
          </w:p>
        </w:tc>
        <w:tc>
          <w:tcPr>
            <w:tcW w:w="886" w:type="pct"/>
            <w:shd w:val="clear" w:color="auto" w:fill="auto"/>
            <w:vAlign w:val="center"/>
          </w:tcPr>
          <w:p>
            <w:pPr>
              <w:jc w:val="center"/>
              <w:rPr>
                <w:rFonts w:eastAsia="仿宋" w:cs="Times New Roman"/>
                <w:sz w:val="21"/>
                <w:szCs w:val="21"/>
              </w:rPr>
            </w:pPr>
            <w:r>
              <w:rPr>
                <w:rFonts w:eastAsia="仿宋" w:cs="Times New Roman"/>
                <w:sz w:val="21"/>
                <w:szCs w:val="21"/>
              </w:rPr>
              <w:t>100万吨/年98.5硫酸、30万吨/年104.5%烟酸</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苏环建（2007）556号</w:t>
            </w:r>
          </w:p>
        </w:tc>
        <w:tc>
          <w:tcPr>
            <w:tcW w:w="580" w:type="pct"/>
            <w:shd w:val="clear" w:color="auto" w:fill="auto"/>
            <w:vAlign w:val="center"/>
          </w:tcPr>
          <w:p>
            <w:pPr>
              <w:jc w:val="center"/>
              <w:rPr>
                <w:rFonts w:eastAsia="仿宋" w:cs="Times New Roman"/>
                <w:sz w:val="21"/>
                <w:szCs w:val="21"/>
              </w:rPr>
            </w:pPr>
            <w:r>
              <w:rPr>
                <w:rFonts w:eastAsia="仿宋" w:cs="Times New Roman"/>
                <w:sz w:val="21"/>
                <w:szCs w:val="21"/>
              </w:rPr>
              <w:t>2007.11.29</w:t>
            </w:r>
          </w:p>
        </w:tc>
        <w:tc>
          <w:tcPr>
            <w:tcW w:w="360"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苏环验[2016]148号</w:t>
            </w:r>
          </w:p>
        </w:tc>
        <w:tc>
          <w:tcPr>
            <w:tcW w:w="583" w:type="pct"/>
            <w:shd w:val="clear" w:color="auto" w:fill="auto"/>
            <w:vAlign w:val="center"/>
          </w:tcPr>
          <w:p>
            <w:pPr>
              <w:jc w:val="center"/>
              <w:rPr>
                <w:rFonts w:eastAsia="仿宋" w:cs="Times New Roman"/>
                <w:sz w:val="21"/>
                <w:szCs w:val="21"/>
              </w:rPr>
            </w:pPr>
            <w:r>
              <w:rPr>
                <w:rFonts w:eastAsia="仿宋" w:cs="Times New Roman"/>
                <w:sz w:val="21"/>
                <w:szCs w:val="21"/>
              </w:rPr>
              <w:t>2016.12.14</w:t>
            </w:r>
          </w:p>
        </w:tc>
        <w:tc>
          <w:tcPr>
            <w:tcW w:w="444" w:type="pct"/>
            <w:shd w:val="clear" w:color="auto" w:fill="auto"/>
            <w:vAlign w:val="center"/>
          </w:tcPr>
          <w:p>
            <w:pPr>
              <w:jc w:val="center"/>
              <w:rPr>
                <w:rFonts w:eastAsia="仿宋" w:cs="Times New Roman"/>
                <w:sz w:val="21"/>
                <w:szCs w:val="21"/>
              </w:rPr>
            </w:pPr>
            <w:r>
              <w:rPr>
                <w:rFonts w:eastAsia="仿宋" w:cs="Times New Roman"/>
                <w:sz w:val="21"/>
                <w:szCs w:val="21"/>
              </w:rPr>
              <w:t>苏州市环保局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1" w:type="pct"/>
            <w:shd w:val="clear" w:color="auto" w:fill="auto"/>
            <w:vAlign w:val="center"/>
          </w:tcPr>
          <w:p>
            <w:pPr>
              <w:jc w:val="center"/>
              <w:rPr>
                <w:rFonts w:eastAsia="仿宋" w:cs="Times New Roman"/>
                <w:sz w:val="21"/>
                <w:szCs w:val="21"/>
              </w:rPr>
            </w:pPr>
            <w:r>
              <w:rPr>
                <w:rFonts w:eastAsia="仿宋" w:cs="Times New Roman"/>
                <w:sz w:val="21"/>
                <w:szCs w:val="21"/>
              </w:rPr>
              <w:t>关于对双狮精细化工有限公司配套130万吨/年硫磺制酸工程的50MW余热发电项目环境影响报告表的批复</w:t>
            </w:r>
          </w:p>
        </w:tc>
        <w:tc>
          <w:tcPr>
            <w:tcW w:w="886" w:type="pct"/>
            <w:shd w:val="clear" w:color="auto" w:fill="auto"/>
            <w:vAlign w:val="center"/>
          </w:tcPr>
          <w:p>
            <w:pPr>
              <w:jc w:val="center"/>
              <w:rPr>
                <w:rFonts w:eastAsia="仿宋" w:cs="Times New Roman"/>
                <w:sz w:val="21"/>
                <w:szCs w:val="21"/>
              </w:rPr>
            </w:pPr>
            <w:r>
              <w:rPr>
                <w:rFonts w:eastAsia="仿宋" w:cs="Times New Roman"/>
                <w:sz w:val="21"/>
                <w:szCs w:val="21"/>
              </w:rPr>
              <w:t>50MW余热发电</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苏环表复[2008]139号</w:t>
            </w:r>
          </w:p>
        </w:tc>
        <w:tc>
          <w:tcPr>
            <w:tcW w:w="580" w:type="pct"/>
            <w:shd w:val="clear" w:color="auto" w:fill="auto"/>
            <w:vAlign w:val="center"/>
          </w:tcPr>
          <w:p>
            <w:pPr>
              <w:jc w:val="center"/>
              <w:rPr>
                <w:rFonts w:eastAsia="仿宋" w:cs="Times New Roman"/>
                <w:sz w:val="21"/>
                <w:szCs w:val="21"/>
              </w:rPr>
            </w:pPr>
            <w:r>
              <w:rPr>
                <w:rFonts w:eastAsia="仿宋" w:cs="Times New Roman"/>
                <w:sz w:val="21"/>
                <w:szCs w:val="21"/>
              </w:rPr>
              <w:t>2008.7.7</w:t>
            </w:r>
          </w:p>
        </w:tc>
        <w:tc>
          <w:tcPr>
            <w:tcW w:w="360" w:type="pct"/>
            <w:shd w:val="clear" w:color="auto" w:fill="auto"/>
            <w:vAlign w:val="center"/>
          </w:tcPr>
          <w:p>
            <w:pPr>
              <w:jc w:val="center"/>
              <w:rPr>
                <w:rFonts w:eastAsia="仿宋" w:cs="Times New Roman"/>
                <w:sz w:val="21"/>
                <w:szCs w:val="21"/>
              </w:rPr>
            </w:pPr>
            <w:r>
              <w:rPr>
                <w:rFonts w:eastAsia="仿宋" w:cs="Times New Roman"/>
                <w:sz w:val="21"/>
                <w:szCs w:val="21"/>
              </w:rPr>
              <w:t>江苏省环保厅</w:t>
            </w:r>
          </w:p>
        </w:tc>
        <w:tc>
          <w:tcPr>
            <w:tcW w:w="548" w:type="pct"/>
            <w:shd w:val="clear" w:color="auto" w:fill="auto"/>
            <w:vAlign w:val="center"/>
          </w:tcPr>
          <w:p>
            <w:pPr>
              <w:jc w:val="center"/>
              <w:rPr>
                <w:rFonts w:eastAsia="仿宋" w:cs="Times New Roman"/>
                <w:sz w:val="21"/>
                <w:szCs w:val="21"/>
              </w:rPr>
            </w:pPr>
            <w:r>
              <w:rPr>
                <w:rFonts w:eastAsia="仿宋" w:cs="Times New Roman"/>
                <w:sz w:val="21"/>
                <w:szCs w:val="21"/>
              </w:rPr>
              <w:t>/</w:t>
            </w:r>
          </w:p>
        </w:tc>
        <w:tc>
          <w:tcPr>
            <w:tcW w:w="583" w:type="pct"/>
            <w:shd w:val="clear" w:color="auto" w:fill="auto"/>
            <w:vAlign w:val="center"/>
          </w:tcPr>
          <w:p>
            <w:pPr>
              <w:jc w:val="center"/>
              <w:rPr>
                <w:rFonts w:eastAsia="仿宋" w:cs="Times New Roman"/>
                <w:sz w:val="21"/>
                <w:szCs w:val="21"/>
              </w:rPr>
            </w:pPr>
            <w:r>
              <w:rPr>
                <w:rFonts w:eastAsia="仿宋" w:cs="Times New Roman"/>
                <w:sz w:val="21"/>
                <w:szCs w:val="21"/>
              </w:rPr>
              <w:t>2010.9.15</w:t>
            </w:r>
          </w:p>
        </w:tc>
        <w:tc>
          <w:tcPr>
            <w:tcW w:w="444" w:type="pct"/>
            <w:shd w:val="clear" w:color="auto" w:fill="auto"/>
            <w:vAlign w:val="center"/>
          </w:tcPr>
          <w:p>
            <w:pPr>
              <w:jc w:val="center"/>
              <w:rPr>
                <w:rFonts w:eastAsia="仿宋" w:cs="Times New Roman"/>
                <w:sz w:val="21"/>
                <w:szCs w:val="21"/>
              </w:rPr>
            </w:pPr>
            <w:r>
              <w:rPr>
                <w:rFonts w:eastAsia="仿宋" w:cs="Times New Roman"/>
                <w:sz w:val="21"/>
                <w:szCs w:val="21"/>
              </w:rPr>
              <w:t>张家港市环保局</w:t>
            </w:r>
          </w:p>
        </w:tc>
      </w:tr>
    </w:tbl>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39" w:name="_Toc20571"/>
      <w:r>
        <w:rPr>
          <w:rFonts w:hint="eastAsia" w:ascii="Times New Roman" w:hAnsi="Times New Roman" w:eastAsia="黑体" w:cs="Times New Roman"/>
          <w:color w:val="auto"/>
          <w:kern w:val="2"/>
          <w:sz w:val="28"/>
          <w:szCs w:val="28"/>
          <w:lang w:val="en-US" w:eastAsia="zh-CN" w:bidi="ar-SA"/>
        </w:rPr>
        <w:t>2.2区域环境状况</w:t>
      </w:r>
      <w:bookmarkEnd w:id="38"/>
      <w:bookmarkEnd w:id="39"/>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40" w:name="2.2.1 位置境域"/>
      <w:bookmarkEnd w:id="40"/>
      <w:bookmarkStart w:id="41" w:name="2.2.1 位置境域"/>
      <w:bookmarkEnd w:id="41"/>
      <w:bookmarkStart w:id="42" w:name="_Toc3151"/>
      <w:bookmarkStart w:id="43" w:name="_Toc29741"/>
      <w:r>
        <w:rPr>
          <w:rFonts w:hint="eastAsia" w:ascii="Times New Roman" w:hAnsi="Times New Roman" w:eastAsia="仿宋_GB2312" w:cs="Times New Roman"/>
          <w:color w:val="auto"/>
          <w:kern w:val="2"/>
          <w:sz w:val="24"/>
          <w:szCs w:val="24"/>
          <w:lang w:val="en-US" w:eastAsia="zh-CN" w:bidi="ar-SA"/>
        </w:rPr>
        <w:t>2.2.1位置境域</w:t>
      </w:r>
      <w:bookmarkEnd w:id="42"/>
      <w:bookmarkEnd w:id="43"/>
    </w:p>
    <w:p>
      <w:pPr>
        <w:spacing w:line="360" w:lineRule="auto"/>
        <w:ind w:firstLine="480" w:firstLineChars="200"/>
        <w:rPr>
          <w:rFonts w:eastAsia="仿宋_GB2312" w:cs="Times New Roman"/>
        </w:rPr>
      </w:pPr>
      <w:bookmarkStart w:id="44" w:name="2.2.2 生态和自然资源"/>
      <w:bookmarkEnd w:id="44"/>
      <w:bookmarkStart w:id="45" w:name="2.2.2 生态和自然资源"/>
      <w:bookmarkEnd w:id="45"/>
      <w:bookmarkStart w:id="46" w:name="_Toc6525"/>
      <w:r>
        <w:rPr>
          <w:rFonts w:hint="eastAsia" w:eastAsia="仿宋_GB2312" w:cs="Times New Roman"/>
        </w:rPr>
        <w:t>张家港市位于中国“黄金水道”——长江下游南岸江，属于江苏省境内，处于中国沿江及沿海两大经济带的交汇处，上海、南京、苏州、无锡等大中城市环列四周，距上海120 km（沿江高速公路通车后，距上海98 km）、苏州80 km（一级公路通车后，距苏州58 km）、无锡40 km、常州70 km、南通30 km、南京200 km，距虹桥机场120 km（沿江高速公路通车后，为98 km），浦东机场150 km，南京禄口机场200 km，是沿海和长江两大经济开发带交汇处的新型港口城市。全市总面积998.48平方公里，其中陆地785.31平方公里，占78.65%；长江水域213.17平方公里，占21.35%。陆地东西最大直线距离44.58公里，南北最大直线距离33.71公里，周长183.5公里，北宽南窄，呈三角形。</w:t>
      </w:r>
    </w:p>
    <w:p>
      <w:pPr>
        <w:spacing w:line="360" w:lineRule="auto"/>
        <w:ind w:firstLine="480" w:firstLineChars="200"/>
        <w:rPr>
          <w:rFonts w:eastAsia="仿宋_GB2312" w:cs="Times New Roman"/>
        </w:rPr>
      </w:pPr>
      <w:r>
        <w:rPr>
          <w:rFonts w:hint="eastAsia" w:eastAsia="仿宋_GB2312" w:cs="Times New Roman"/>
        </w:rPr>
        <w:t>张家港保税区（金港镇）于1992年10月16日经国务院批准设立，是我国唯一的内河港型保税区和唯一的位于县级口岸的保税区，主要功能为出口加工、报税仓储、国际贸易和商品展示。纺织业是保税区四大特色优势产业之一。</w:t>
      </w:r>
    </w:p>
    <w:p>
      <w:pPr>
        <w:spacing w:line="360" w:lineRule="auto"/>
        <w:ind w:firstLine="480" w:firstLineChars="200"/>
        <w:rPr>
          <w:rFonts w:eastAsia="仿宋_GB2312" w:cs="Times New Roman"/>
        </w:rPr>
      </w:pPr>
      <w:r>
        <w:rPr>
          <w:rFonts w:hint="eastAsia" w:eastAsia="仿宋_GB2312" w:cs="Times New Roman"/>
        </w:rPr>
        <w:t>本项目位于张家港保税区扬子江国际化学工业园长江北路，北侧邻东华能源（张家港）新材料有限公司，西侧临东华能源股份有限公司，东侧为长江北路，南侧为张家港保税物流园区（东区），占地面积925多亩。</w:t>
      </w:r>
    </w:p>
    <w:bookmarkEnd w:id="46"/>
    <w:p>
      <w:pPr>
        <w:pStyle w:val="6"/>
        <w:spacing w:before="65" w:beforeLines="20" w:after="65" w:afterLines="20" w:line="360" w:lineRule="auto"/>
        <w:rPr>
          <w:rFonts w:eastAsia="仿宋_GB2312" w:cs="Times New Roman"/>
          <w:sz w:val="24"/>
          <w:szCs w:val="24"/>
        </w:rPr>
      </w:pPr>
      <w:bookmarkStart w:id="47" w:name="2.3 场地地理位置"/>
      <w:bookmarkEnd w:id="47"/>
      <w:bookmarkStart w:id="48" w:name="_bookmark9"/>
      <w:bookmarkEnd w:id="48"/>
      <w:bookmarkStart w:id="49" w:name="_Toc10667"/>
      <w:bookmarkStart w:id="50" w:name="_Toc25370"/>
      <w:bookmarkStart w:id="51" w:name="_Toc26267514"/>
      <w:bookmarkStart w:id="52" w:name="_Toc31720"/>
      <w:r>
        <w:rPr>
          <w:rFonts w:eastAsia="仿宋_GB2312" w:cs="Times New Roman"/>
          <w:sz w:val="24"/>
          <w:szCs w:val="24"/>
        </w:rPr>
        <w:t>2.</w:t>
      </w:r>
      <w:r>
        <w:rPr>
          <w:rFonts w:hint="eastAsia" w:eastAsia="仿宋_GB2312" w:cs="Times New Roman"/>
          <w:sz w:val="24"/>
          <w:szCs w:val="24"/>
          <w:lang w:val="en-US" w:eastAsia="zh-CN"/>
        </w:rPr>
        <w:t>2</w:t>
      </w:r>
      <w:r>
        <w:rPr>
          <w:rFonts w:eastAsia="仿宋_GB2312" w:cs="Times New Roman"/>
          <w:sz w:val="24"/>
          <w:szCs w:val="24"/>
        </w:rPr>
        <w:t>.2 气候气象</w:t>
      </w:r>
      <w:bookmarkEnd w:id="49"/>
      <w:bookmarkEnd w:id="50"/>
      <w:bookmarkEnd w:id="51"/>
    </w:p>
    <w:p>
      <w:pPr>
        <w:spacing w:line="360" w:lineRule="auto"/>
        <w:ind w:firstLine="480" w:firstLineChars="200"/>
        <w:rPr>
          <w:rFonts w:eastAsia="仿宋_GB2312" w:cs="Times New Roman"/>
        </w:rPr>
      </w:pPr>
      <w:r>
        <w:rPr>
          <w:rFonts w:eastAsia="仿宋_GB2312" w:cs="Times New Roman"/>
        </w:rPr>
        <w:t>本项目位于北亚热带北端，四季分明。冬季受大陆冷空气影响</w:t>
      </w:r>
      <w:r>
        <w:rPr>
          <w:rFonts w:hint="eastAsia" w:eastAsia="仿宋_GB2312" w:cs="Times New Roman"/>
        </w:rPr>
        <w:t>，</w:t>
      </w:r>
      <w:r>
        <w:rPr>
          <w:rFonts w:eastAsia="仿宋_GB2312" w:cs="Times New Roman"/>
        </w:rPr>
        <w:t>气候干燥寒冷，风向以偏北风为主；夏季则受海洋气团影响，气候酷热多雨，风向以偏南风为主。历年统计资料表明：境内年平均气温为15.1℃；极端最高气温38.1℃，极端最低气温-11.3℃；平均年降水量为1035.9</w:t>
      </w:r>
      <w:r>
        <w:rPr>
          <w:rFonts w:hint="eastAsia" w:eastAsia="仿宋_GB2312" w:cs="Times New Roman"/>
        </w:rPr>
        <w:t xml:space="preserve"> </w:t>
      </w:r>
      <w:r>
        <w:rPr>
          <w:rFonts w:eastAsia="仿宋_GB2312" w:cs="Times New Roman"/>
        </w:rPr>
        <w:t>mm，最大降水量可达1748.0</w:t>
      </w:r>
      <w:r>
        <w:rPr>
          <w:rFonts w:hint="eastAsia" w:eastAsia="仿宋_GB2312" w:cs="Times New Roman"/>
        </w:rPr>
        <w:t xml:space="preserve"> </w:t>
      </w:r>
      <w:r>
        <w:rPr>
          <w:rFonts w:eastAsia="仿宋_GB2312" w:cs="Times New Roman"/>
        </w:rPr>
        <w:t>mm，最小为640</w:t>
      </w:r>
      <w:r>
        <w:rPr>
          <w:rFonts w:hint="eastAsia" w:eastAsia="仿宋_GB2312" w:cs="Times New Roman"/>
        </w:rPr>
        <w:t xml:space="preserve"> </w:t>
      </w:r>
      <w:r>
        <w:rPr>
          <w:rFonts w:eastAsia="仿宋_GB2312" w:cs="Times New Roman"/>
        </w:rPr>
        <w:t>mm；平均年日照时数为2088小时；常年主导风向为SSE，频率为11%，最小频度风向为SW风，频率为2.0%，静风频率为5%；年平均风速为3.5</w:t>
      </w:r>
      <w:r>
        <w:rPr>
          <w:rFonts w:hint="eastAsia" w:eastAsia="仿宋_GB2312" w:cs="Times New Roman"/>
        </w:rPr>
        <w:t xml:space="preserve"> </w:t>
      </w:r>
      <w:r>
        <w:rPr>
          <w:rFonts w:eastAsia="仿宋_GB2312" w:cs="Times New Roman"/>
        </w:rPr>
        <w:t>m/s。</w:t>
      </w:r>
    </w:p>
    <w:p>
      <w:pPr>
        <w:pStyle w:val="6"/>
        <w:spacing w:before="65" w:beforeLines="20" w:after="65" w:afterLines="20" w:line="360" w:lineRule="auto"/>
        <w:jc w:val="left"/>
        <w:rPr>
          <w:rFonts w:eastAsia="仿宋_GB2312" w:cs="Times New Roman"/>
          <w:sz w:val="24"/>
          <w:szCs w:val="24"/>
        </w:rPr>
      </w:pPr>
      <w:bookmarkStart w:id="53" w:name="_Toc26267515"/>
      <w:bookmarkStart w:id="54" w:name="_Toc13573"/>
      <w:bookmarkStart w:id="55" w:name="_Toc25058"/>
      <w:r>
        <w:rPr>
          <w:rFonts w:eastAsia="仿宋_GB2312" w:cs="Times New Roman"/>
          <w:sz w:val="24"/>
          <w:szCs w:val="24"/>
        </w:rPr>
        <w:t>2.</w:t>
      </w:r>
      <w:r>
        <w:rPr>
          <w:rFonts w:hint="eastAsia" w:eastAsia="仿宋_GB2312" w:cs="Times New Roman"/>
          <w:sz w:val="24"/>
          <w:szCs w:val="24"/>
          <w:lang w:val="en-US" w:eastAsia="zh-CN"/>
        </w:rPr>
        <w:t>2</w:t>
      </w:r>
      <w:r>
        <w:rPr>
          <w:rFonts w:eastAsia="仿宋_GB2312" w:cs="Times New Roman"/>
          <w:sz w:val="24"/>
          <w:szCs w:val="24"/>
        </w:rPr>
        <w:t>.3 地形地貌</w:t>
      </w:r>
      <w:r>
        <w:rPr>
          <w:rFonts w:hint="eastAsia" w:eastAsia="仿宋_GB2312" w:cs="Times New Roman"/>
          <w:sz w:val="24"/>
          <w:szCs w:val="24"/>
        </w:rPr>
        <w:t>及地质</w:t>
      </w:r>
      <w:bookmarkEnd w:id="53"/>
      <w:bookmarkEnd w:id="54"/>
      <w:bookmarkEnd w:id="55"/>
    </w:p>
    <w:p>
      <w:pPr>
        <w:spacing w:line="360" w:lineRule="auto"/>
        <w:ind w:firstLine="480" w:firstLineChars="200"/>
        <w:rPr>
          <w:rFonts w:eastAsia="仿宋_GB2312" w:cs="Times New Roman"/>
        </w:rPr>
      </w:pPr>
      <w:r>
        <w:rPr>
          <w:rFonts w:hint="eastAsia" w:eastAsia="仿宋_GB2312" w:cs="Times New Roman"/>
        </w:rPr>
        <w:t>张家港市北宽南窄，呈三角形。古长江岸线把境内陆地分为南北两个部分，南部属老长江三角洲的古代沙嘴区，成陆8000年以上，地势高亢，高程（吴淞零点，下同）为5～8 m，散落着大小14座山丘；北部属新长江三角洲，由数十个沙洲积涨而成，成陆最早的距今约800年，地势低平，高程为3～5 m。</w:t>
      </w:r>
    </w:p>
    <w:p>
      <w:pPr>
        <w:spacing w:line="360" w:lineRule="auto"/>
        <w:ind w:firstLine="480" w:firstLineChars="200"/>
        <w:rPr>
          <w:rFonts w:eastAsia="仿宋_GB2312" w:cs="Times New Roman"/>
        </w:rPr>
      </w:pPr>
      <w:r>
        <w:rPr>
          <w:rFonts w:hint="eastAsia" w:eastAsia="仿宋_GB2312" w:cs="Times New Roman"/>
        </w:rPr>
        <w:t>张家港城北至东西走向的盐铁塘、东横河是天然的南北土质分界线，地质成因有所不同。北部由于河流搬运的大量细小碎屑入江附近冲击而成，浅海相新冲击层，土层颜色呈土黄，由褐灰色地亚粘土、轻亚粘土及褐灰色粘层组成现今的软弱地带。南部属平原河谷冲击物类型，即由洪积区及阶地冲积地亚粘土、黏土为主的覆盖地，覆盖于原来形成的软弱土层之上。按“中国地震裂度区划图（1990）”及国家地震局、建设部地震办（1992）160号文，按Ⅵ度设防</w:t>
      </w:r>
      <w:r>
        <w:rPr>
          <w:rFonts w:eastAsia="仿宋_GB2312" w:cs="Times New Roman"/>
        </w:rPr>
        <w:t>。</w:t>
      </w:r>
    </w:p>
    <w:p>
      <w:pPr>
        <w:spacing w:line="360" w:lineRule="auto"/>
        <w:ind w:firstLine="480" w:firstLineChars="200"/>
        <w:rPr>
          <w:rFonts w:eastAsia="仿宋_GB2312" w:cs="Times New Roman"/>
        </w:rPr>
      </w:pPr>
      <w:r>
        <w:rPr>
          <w:rFonts w:hint="eastAsia" w:eastAsia="仿宋_GB2312" w:cs="Times New Roman"/>
        </w:rPr>
        <w:t>张家港保税区扬子江国际化学工业园区所在地地势平坦，地面标高在+2.5米左右，长江堤岸标高+7.5米（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 沿江芦苇野草丛生的滩地属草甸地，形成年代只有二、三十年或更短。</w:t>
      </w:r>
    </w:p>
    <w:p>
      <w:pPr>
        <w:spacing w:line="360" w:lineRule="auto"/>
        <w:ind w:firstLine="480" w:firstLineChars="200"/>
        <w:rPr>
          <w:rFonts w:eastAsia="仿宋_GB2312" w:cs="Times New Roman"/>
        </w:rPr>
      </w:pPr>
      <w:r>
        <w:rPr>
          <w:rFonts w:hint="eastAsia" w:eastAsia="仿宋_GB2312" w:cs="Times New Roman"/>
        </w:rPr>
        <w:t>根据江苏省水文地质工程地质勘察院于1993年在工程区域进行过勘探，地质概况如下：</w:t>
      </w:r>
    </w:p>
    <w:p>
      <w:pPr>
        <w:spacing w:line="360" w:lineRule="auto"/>
        <w:ind w:firstLine="480" w:firstLineChars="200"/>
        <w:rPr>
          <w:rFonts w:eastAsia="仿宋_GB2312" w:cs="Times New Roman"/>
        </w:rPr>
      </w:pPr>
      <w:r>
        <w:rPr>
          <w:rFonts w:hint="eastAsia" w:eastAsia="仿宋_GB2312" w:cs="Times New Roman"/>
        </w:rPr>
        <w:t>表层有1～3m护坡抛石层，Ⅱ1层中局部夹有抛石层；</w:t>
      </w:r>
    </w:p>
    <w:p>
      <w:pPr>
        <w:spacing w:line="360" w:lineRule="auto"/>
        <w:ind w:firstLine="480" w:firstLineChars="200"/>
        <w:rPr>
          <w:rFonts w:eastAsia="仿宋_GB2312" w:cs="Times New Roman"/>
        </w:rPr>
      </w:pPr>
      <w:r>
        <w:rPr>
          <w:rFonts w:hint="eastAsia" w:eastAsia="仿宋_GB2312" w:cs="Times New Roman"/>
        </w:rPr>
        <w:t>第一层：Ⅱ1层 淤泥质亚粘土，厚度8～13m，流塑状，局部软塑状， 属中等偏高压缩性土层，标贯击数 4～5 击；</w:t>
      </w:r>
    </w:p>
    <w:p>
      <w:pPr>
        <w:spacing w:line="360" w:lineRule="auto"/>
        <w:ind w:firstLine="480" w:firstLineChars="200"/>
        <w:rPr>
          <w:rFonts w:eastAsia="仿宋_GB2312" w:cs="Times New Roman"/>
        </w:rPr>
      </w:pPr>
      <w:r>
        <w:rPr>
          <w:rFonts w:hint="eastAsia" w:eastAsia="仿宋_GB2312" w:cs="Times New Roman"/>
        </w:rPr>
        <w:t>第二层：Ⅱ2层 粉细砂夹淤泥质亚粘土，厚度3～14m 松散～稍密， 中等偏底压缩性，标贯击数 10～14击；</w:t>
      </w:r>
    </w:p>
    <w:p>
      <w:pPr>
        <w:spacing w:line="360" w:lineRule="auto"/>
        <w:ind w:firstLine="480" w:firstLineChars="200"/>
        <w:rPr>
          <w:rFonts w:eastAsia="仿宋_GB2312" w:cs="Times New Roman"/>
        </w:rPr>
      </w:pPr>
      <w:r>
        <w:rPr>
          <w:rFonts w:hint="eastAsia" w:eastAsia="仿宋_GB2312" w:cs="Times New Roman"/>
        </w:rPr>
        <w:t>第三层：Ⅲ1层 粉细砂，局部夹亚粘土，未钻透，中密状，偏低压缩 性土，标贯击数20～30击，有些钻孔标贯击数达50击左右。</w:t>
      </w:r>
    </w:p>
    <w:p>
      <w:pPr>
        <w:spacing w:line="360" w:lineRule="auto"/>
        <w:ind w:firstLine="480" w:firstLineChars="200"/>
        <w:rPr>
          <w:rFonts w:eastAsia="仿宋_GB2312" w:cs="Times New Roman"/>
        </w:rPr>
      </w:pPr>
      <w:r>
        <w:rPr>
          <w:rFonts w:hint="eastAsia" w:eastAsia="仿宋_GB2312" w:cs="Times New Roman"/>
        </w:rPr>
        <w:t>本区域地震频度低，强度弱，为较稳定的弱震区。</w:t>
      </w:r>
    </w:p>
    <w:p>
      <w:pPr>
        <w:pStyle w:val="6"/>
        <w:spacing w:before="65" w:beforeLines="20" w:after="65" w:afterLines="20" w:line="360" w:lineRule="auto"/>
        <w:jc w:val="left"/>
        <w:rPr>
          <w:rFonts w:eastAsia="仿宋_GB2312" w:cs="Times New Roman"/>
          <w:sz w:val="24"/>
          <w:szCs w:val="24"/>
        </w:rPr>
      </w:pPr>
      <w:bookmarkStart w:id="56" w:name="_Toc20719"/>
      <w:bookmarkStart w:id="57" w:name="_Toc26267516"/>
      <w:bookmarkStart w:id="58" w:name="_Toc9066"/>
      <w:r>
        <w:rPr>
          <w:rFonts w:eastAsia="仿宋_GB2312" w:cs="Times New Roman"/>
          <w:sz w:val="24"/>
          <w:szCs w:val="24"/>
        </w:rPr>
        <w:t>2.</w:t>
      </w:r>
      <w:r>
        <w:rPr>
          <w:rFonts w:hint="eastAsia" w:eastAsia="仿宋_GB2312" w:cs="Times New Roman"/>
          <w:sz w:val="24"/>
          <w:szCs w:val="24"/>
          <w:lang w:val="en-US" w:eastAsia="zh-CN"/>
        </w:rPr>
        <w:t>2</w:t>
      </w:r>
      <w:r>
        <w:rPr>
          <w:rFonts w:eastAsia="仿宋_GB2312" w:cs="Times New Roman"/>
          <w:sz w:val="24"/>
          <w:szCs w:val="24"/>
        </w:rPr>
        <w:t>.4 水系</w:t>
      </w:r>
      <w:r>
        <w:rPr>
          <w:rFonts w:hint="eastAsia" w:eastAsia="仿宋_GB2312" w:cs="Times New Roman"/>
          <w:sz w:val="24"/>
          <w:szCs w:val="24"/>
        </w:rPr>
        <w:t>及水文</w:t>
      </w:r>
      <w:r>
        <w:rPr>
          <w:rFonts w:eastAsia="仿宋_GB2312" w:cs="Times New Roman"/>
          <w:sz w:val="24"/>
          <w:szCs w:val="24"/>
        </w:rPr>
        <w:t>特征</w:t>
      </w:r>
      <w:bookmarkEnd w:id="56"/>
      <w:bookmarkEnd w:id="57"/>
      <w:bookmarkEnd w:id="58"/>
    </w:p>
    <w:p>
      <w:pPr>
        <w:spacing w:line="360" w:lineRule="auto"/>
        <w:ind w:firstLine="480" w:firstLineChars="200"/>
        <w:rPr>
          <w:rFonts w:eastAsia="仿宋_GB2312" w:cs="Times New Roman"/>
        </w:rPr>
      </w:pPr>
      <w:r>
        <w:rPr>
          <w:rFonts w:hint="eastAsia" w:eastAsia="仿宋_GB2312" w:cs="Times New Roman"/>
        </w:rPr>
        <w:t>本地区水系属长江水系。沿江有多条内河和长江相通，项目附近主要水体为长江和十字港河。</w:t>
      </w:r>
    </w:p>
    <w:p>
      <w:pPr>
        <w:spacing w:line="360" w:lineRule="auto"/>
        <w:ind w:firstLine="480" w:firstLineChars="200"/>
        <w:rPr>
          <w:rFonts w:eastAsia="仿宋_GB2312" w:cs="Times New Roman"/>
        </w:rPr>
      </w:pPr>
      <w:r>
        <w:rPr>
          <w:rFonts w:hint="eastAsia" w:eastAsia="仿宋_GB2312" w:cs="Times New Roman"/>
        </w:rPr>
        <w:t>十字港为排灌河流，由于受人工闸控制，流速较小，且流向不定。当从长江引水时，水流自西北</w:t>
      </w:r>
      <w:r>
        <w:rPr>
          <w:rFonts w:eastAsia="仿宋_GB2312" w:cs="Times New Roman"/>
        </w:rPr>
        <w:t>(</w:t>
      </w:r>
      <w:r>
        <w:rPr>
          <w:rFonts w:hint="eastAsia" w:eastAsia="仿宋_GB2312" w:cs="Times New Roman"/>
        </w:rPr>
        <w:t>北</w:t>
      </w:r>
      <w:r>
        <w:rPr>
          <w:rFonts w:eastAsia="仿宋_GB2312" w:cs="Times New Roman"/>
        </w:rPr>
        <w:t>)</w:t>
      </w:r>
      <w:r>
        <w:rPr>
          <w:rFonts w:hint="eastAsia" w:eastAsia="仿宋_GB2312" w:cs="Times New Roman"/>
        </w:rPr>
        <w:t>向东南</w:t>
      </w:r>
      <w:r>
        <w:rPr>
          <w:rFonts w:eastAsia="仿宋_GB2312" w:cs="Times New Roman"/>
        </w:rPr>
        <w:t>(</w:t>
      </w:r>
      <w:r>
        <w:rPr>
          <w:rFonts w:hint="eastAsia" w:eastAsia="仿宋_GB2312" w:cs="Times New Roman"/>
        </w:rPr>
        <w:t>南</w:t>
      </w:r>
      <w:r>
        <w:rPr>
          <w:rFonts w:eastAsia="仿宋_GB2312" w:cs="Times New Roman"/>
        </w:rPr>
        <w:t>)</w:t>
      </w:r>
      <w:r>
        <w:rPr>
          <w:rFonts w:hint="eastAsia" w:eastAsia="仿宋_GB2312" w:cs="Times New Roman"/>
        </w:rPr>
        <w:t>；当开闸放水时，水流则相反。</w:t>
      </w:r>
      <w:r>
        <w:rPr>
          <w:rFonts w:eastAsia="仿宋_GB2312" w:cs="Times New Roman"/>
        </w:rPr>
        <w:t xml:space="preserve"> </w:t>
      </w:r>
      <w:r>
        <w:rPr>
          <w:rFonts w:hint="eastAsia" w:eastAsia="仿宋_GB2312" w:cs="Times New Roman"/>
        </w:rPr>
        <w:t>河闸内河底宽</w:t>
      </w:r>
      <w:r>
        <w:rPr>
          <w:rFonts w:eastAsia="仿宋_GB2312" w:cs="Times New Roman"/>
        </w:rPr>
        <w:t>18</w:t>
      </w:r>
      <w:r>
        <w:rPr>
          <w:rFonts w:hint="eastAsia" w:eastAsia="仿宋_GB2312" w:cs="Times New Roman"/>
        </w:rPr>
        <w:t>米，闸外河底宽</w:t>
      </w:r>
      <w:r>
        <w:rPr>
          <w:rFonts w:eastAsia="仿宋_GB2312" w:cs="Times New Roman"/>
        </w:rPr>
        <w:t>40</w:t>
      </w:r>
      <w:r>
        <w:rPr>
          <w:rFonts w:hint="eastAsia" w:eastAsia="仿宋_GB2312" w:cs="Times New Roman"/>
        </w:rPr>
        <w:t>米，河底标高</w:t>
      </w:r>
      <w:r>
        <w:rPr>
          <w:rFonts w:eastAsia="仿宋_GB2312" w:cs="Times New Roman"/>
        </w:rPr>
        <w:t>-1.41</w:t>
      </w:r>
      <w:r>
        <w:rPr>
          <w:rFonts w:hint="eastAsia" w:eastAsia="仿宋_GB2312" w:cs="Times New Roman"/>
        </w:rPr>
        <w:t>米，河面宽约</w:t>
      </w:r>
      <w:r>
        <w:rPr>
          <w:rFonts w:eastAsia="仿宋_GB2312" w:cs="Times New Roman"/>
        </w:rPr>
        <w:t>60</w:t>
      </w:r>
      <w:r>
        <w:rPr>
          <w:rFonts w:hint="eastAsia" w:eastAsia="仿宋_GB2312" w:cs="Times New Roman"/>
        </w:rPr>
        <w:t>米，设计流量</w:t>
      </w:r>
      <w:r>
        <w:rPr>
          <w:rFonts w:eastAsia="仿宋_GB2312" w:cs="Times New Roman"/>
        </w:rPr>
        <w:t>30 m</w:t>
      </w:r>
      <w:r>
        <w:rPr>
          <w:rFonts w:eastAsia="仿宋_GB2312" w:cs="Times New Roman"/>
          <w:vertAlign w:val="superscript"/>
        </w:rPr>
        <w:t>3</w:t>
      </w:r>
      <w:r>
        <w:rPr>
          <w:rFonts w:eastAsia="仿宋_GB2312" w:cs="Times New Roman"/>
        </w:rPr>
        <w:t xml:space="preserve"> /</w:t>
      </w:r>
      <w:r>
        <w:rPr>
          <w:rFonts w:hint="eastAsia" w:eastAsia="仿宋_GB2312" w:cs="Times New Roman"/>
        </w:rPr>
        <w:t>秒，规划拓宽疏浚到四六级航道（长江—疏港路段已按四级拓宽），向南开挖连通南套河、东横河。</w:t>
      </w:r>
    </w:p>
    <w:p>
      <w:pPr>
        <w:spacing w:line="360" w:lineRule="auto"/>
        <w:ind w:firstLine="480" w:firstLineChars="200"/>
        <w:rPr>
          <w:rFonts w:eastAsia="仿宋_GB2312" w:cs="Times New Roman"/>
        </w:rPr>
      </w:pPr>
      <w:r>
        <w:rPr>
          <w:rFonts w:hint="eastAsia" w:eastAsia="仿宋_GB2312" w:cs="Times New Roman"/>
        </w:rPr>
        <w:t>项目所在地长江福姜沙河段位于长江河口感潮河段，长江水流大部分为双向流，只有在径流量很大，天文潮很小情况下为单向流(落潮流)。河段潮汐特点为非正规半日浅海潮型，潮位每日两涨两落，涨潮流平均历时4小时，落潮流平均历时8个多小时，平均潮流期为12小时50分钟。最高潮水位为6.38米，最低潮水位为0.42米。据大通水文站历年观测资料，年平均流量为2.93万m</w:t>
      </w:r>
      <w:r>
        <w:rPr>
          <w:rFonts w:hint="eastAsia" w:eastAsia="仿宋_GB2312" w:cs="Times New Roman"/>
          <w:vertAlign w:val="superscript"/>
        </w:rPr>
        <w:t>3</w:t>
      </w:r>
      <w:r>
        <w:rPr>
          <w:rFonts w:hint="eastAsia" w:eastAsia="仿宋_GB2312" w:cs="Times New Roman"/>
        </w:rPr>
        <w:t>/秒最大流量为9.23万m</w:t>
      </w:r>
      <w:r>
        <w:rPr>
          <w:rFonts w:hint="eastAsia" w:eastAsia="仿宋_GB2312" w:cs="Times New Roman"/>
          <w:vertAlign w:val="superscript"/>
        </w:rPr>
        <w:t>3</w:t>
      </w:r>
      <w:r>
        <w:rPr>
          <w:rFonts w:hint="eastAsia" w:eastAsia="仿宋_GB2312" w:cs="Times New Roman"/>
        </w:rPr>
        <w:t>/秒，最小流量为4626 m</w:t>
      </w:r>
      <w:r>
        <w:rPr>
          <w:rFonts w:hint="eastAsia" w:eastAsia="仿宋_GB2312" w:cs="Times New Roman"/>
          <w:vertAlign w:val="superscript"/>
        </w:rPr>
        <w:t>3</w:t>
      </w:r>
      <w:r>
        <w:rPr>
          <w:rFonts w:hint="eastAsia" w:eastAsia="仿宋_GB2312" w:cs="Times New Roman"/>
        </w:rPr>
        <w:t>/秒。在汛期，平均落潮量为24.5亿m</w:t>
      </w:r>
      <w:r>
        <w:rPr>
          <w:rFonts w:hint="eastAsia" w:eastAsia="仿宋_GB2312" w:cs="Times New Roman"/>
          <w:vertAlign w:val="superscript"/>
        </w:rPr>
        <w:t>3</w:t>
      </w:r>
      <w:r>
        <w:rPr>
          <w:rFonts w:hint="eastAsia" w:eastAsia="仿宋_GB2312" w:cs="Times New Roman"/>
        </w:rPr>
        <w:t>，涨潮量为1.5亿m</w:t>
      </w:r>
      <w:r>
        <w:rPr>
          <w:rFonts w:hint="eastAsia" w:eastAsia="仿宋_GB2312" w:cs="Times New Roman"/>
          <w:vertAlign w:val="superscript"/>
        </w:rPr>
        <w:t>3</w:t>
      </w:r>
      <w:r>
        <w:rPr>
          <w:rFonts w:hint="eastAsia" w:eastAsia="仿宋_GB2312" w:cs="Times New Roman"/>
        </w:rPr>
        <w:t>。在枯水期，平 均落潮潮量为9.45亿m</w:t>
      </w:r>
      <w:r>
        <w:rPr>
          <w:rFonts w:hint="eastAsia" w:eastAsia="仿宋_GB2312" w:cs="Times New Roman"/>
          <w:vertAlign w:val="superscript"/>
        </w:rPr>
        <w:t>3</w:t>
      </w:r>
      <w:r>
        <w:rPr>
          <w:rFonts w:hint="eastAsia" w:eastAsia="仿宋_GB2312" w:cs="Times New Roman"/>
        </w:rPr>
        <w:t>，涨潮潮量为5.12亿m</w:t>
      </w:r>
      <w:r>
        <w:rPr>
          <w:rFonts w:hint="eastAsia" w:eastAsia="仿宋_GB2312" w:cs="Times New Roman"/>
          <w:vertAlign w:val="superscript"/>
        </w:rPr>
        <w:t>3</w:t>
      </w:r>
      <w:r>
        <w:rPr>
          <w:rFonts w:hint="eastAsia" w:eastAsia="仿宋_GB2312" w:cs="Times New Roman"/>
        </w:rPr>
        <w:t>。本长江段床沙组成大部分为细沙，平均粒径为0.12-0.16厘米。含沙量一般汛期大，枯水期小，落潮含沙量大于涨潮。</w:t>
      </w:r>
    </w:p>
    <w:p>
      <w:pPr>
        <w:spacing w:line="360" w:lineRule="auto"/>
        <w:ind w:firstLine="480" w:firstLineChars="200"/>
        <w:rPr>
          <w:rFonts w:eastAsia="仿宋_GB2312" w:cs="Times New Roman"/>
        </w:rPr>
      </w:pPr>
      <w:r>
        <w:rPr>
          <w:rFonts w:hint="eastAsia" w:eastAsia="仿宋_GB2312" w:cs="Times New Roman"/>
        </w:rPr>
        <w:t>污水接管排放口各一个，雨水、污水分别根据各自的pH在线检测联锁装置自动切换排放去向。</w:t>
      </w:r>
    </w:p>
    <w:p>
      <w:pPr>
        <w:pStyle w:val="6"/>
        <w:spacing w:before="65" w:beforeLines="20" w:after="65" w:afterLines="20" w:line="360" w:lineRule="auto"/>
        <w:jc w:val="left"/>
        <w:rPr>
          <w:rFonts w:eastAsia="仿宋_GB2312" w:cs="Times New Roman"/>
          <w:sz w:val="24"/>
          <w:szCs w:val="24"/>
        </w:rPr>
      </w:pPr>
      <w:bookmarkStart w:id="59" w:name="_Toc26267517"/>
      <w:bookmarkStart w:id="60" w:name="_Toc18248"/>
      <w:bookmarkStart w:id="61" w:name="_Toc11025"/>
      <w:r>
        <w:rPr>
          <w:rFonts w:eastAsia="仿宋_GB2312" w:cs="Times New Roman"/>
          <w:sz w:val="24"/>
          <w:szCs w:val="24"/>
        </w:rPr>
        <w:t>2.</w:t>
      </w:r>
      <w:r>
        <w:rPr>
          <w:rFonts w:hint="eastAsia" w:eastAsia="仿宋_GB2312" w:cs="Times New Roman"/>
          <w:sz w:val="24"/>
          <w:szCs w:val="24"/>
          <w:lang w:val="en-US" w:eastAsia="zh-CN"/>
        </w:rPr>
        <w:t>2</w:t>
      </w:r>
      <w:r>
        <w:rPr>
          <w:rFonts w:eastAsia="仿宋_GB2312" w:cs="Times New Roman"/>
          <w:sz w:val="24"/>
          <w:szCs w:val="24"/>
        </w:rPr>
        <w:t xml:space="preserve">.5 </w:t>
      </w:r>
      <w:r>
        <w:rPr>
          <w:rFonts w:hint="eastAsia" w:eastAsia="仿宋_GB2312" w:cs="Times New Roman"/>
          <w:sz w:val="24"/>
          <w:szCs w:val="24"/>
        </w:rPr>
        <w:t>生态和自然资源</w:t>
      </w:r>
      <w:bookmarkEnd w:id="59"/>
      <w:bookmarkEnd w:id="60"/>
      <w:bookmarkEnd w:id="61"/>
    </w:p>
    <w:p>
      <w:pPr>
        <w:spacing w:line="360" w:lineRule="auto"/>
        <w:ind w:firstLine="480" w:firstLineChars="200"/>
        <w:rPr>
          <w:rFonts w:eastAsia="仿宋_GB2312" w:cs="Times New Roman"/>
        </w:rPr>
      </w:pPr>
      <w:r>
        <w:rPr>
          <w:rFonts w:eastAsia="仿宋_GB2312" w:cs="Times New Roman"/>
        </w:rPr>
        <w:t>（1）土壤：属淤土类灰淤土亚类。土属，沿江岸为砂土，其余为夹砂土。由冲击母质发育而成，有石灰性反映，有机质矿化率高，耕性适宜耐旱作物。</w:t>
      </w:r>
    </w:p>
    <w:p>
      <w:pPr>
        <w:spacing w:line="360" w:lineRule="auto"/>
        <w:ind w:firstLine="480" w:firstLineChars="200"/>
        <w:rPr>
          <w:rFonts w:eastAsia="仿宋_GB2312" w:cs="Times New Roman"/>
        </w:rPr>
      </w:pPr>
      <w:r>
        <w:rPr>
          <w:rFonts w:eastAsia="仿宋_GB2312" w:cs="Times New Roman"/>
        </w:rPr>
        <w:t>（2）植被：以人工栽培为主，没有连片湿地。江滩丛生芦苇、芦竹；河塘洼地种蒲草、茭白、慈菇、藕、水草、荸荠、水花生、浮萍等；路、堤两旁、家前屋后种有水杉、刺槐、楝、杞柳等乔灌木及小片竹、果、菜园；农田植被为稻、棉、麦轮作或纯棉，少量绿化及其它经济作物。</w:t>
      </w:r>
    </w:p>
    <w:p>
      <w:pPr>
        <w:spacing w:line="360" w:lineRule="auto"/>
        <w:ind w:firstLine="480" w:firstLineChars="200"/>
        <w:rPr>
          <w:rFonts w:eastAsia="仿宋_GB2312" w:cs="Times New Roman"/>
        </w:rPr>
      </w:pPr>
      <w:r>
        <w:rPr>
          <w:rFonts w:eastAsia="仿宋_GB2312" w:cs="Times New Roman"/>
        </w:rPr>
        <w:t>（3）动物：以常见的家禽、鸟雀（含水禽）、鼠、蛙、蛇、龟、兔等为主，塘洼养殖水产。长江是江海洄游鱼通道，中华鲟、白鳍豚、江豚是国家保护的珍稀动物。</w:t>
      </w:r>
    </w:p>
    <w:p>
      <w:pPr>
        <w:spacing w:line="360" w:lineRule="auto"/>
        <w:ind w:firstLine="480" w:firstLineChars="200"/>
        <w:rPr>
          <w:rFonts w:eastAsia="仿宋_GB2312" w:cs="Times New Roman"/>
        </w:rPr>
      </w:pPr>
      <w:r>
        <w:rPr>
          <w:rFonts w:eastAsia="仿宋_GB2312" w:cs="Times New Roman"/>
        </w:rPr>
        <w:t>（4）自然资源：主要为土地资源（含岸线、滩涂）资源、水资源和渔业资源，是著名的“长江三鲜”—鲥、刀鲚、河豚鱼的主要产地，鱼纲有30 余种。目前鲥鱼已绝迹。</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62" w:name="_Toc20234"/>
      <w:r>
        <w:rPr>
          <w:rFonts w:hint="eastAsia" w:ascii="Times New Roman" w:hAnsi="Times New Roman" w:eastAsia="黑体" w:cs="Times New Roman"/>
          <w:color w:val="auto"/>
          <w:kern w:val="2"/>
          <w:sz w:val="28"/>
          <w:szCs w:val="28"/>
          <w:lang w:val="en-US" w:eastAsia="zh-CN" w:bidi="ar-SA"/>
        </w:rPr>
        <w:t>2.3场地地理位置</w:t>
      </w:r>
      <w:bookmarkEnd w:id="52"/>
      <w:bookmarkEnd w:id="62"/>
    </w:p>
    <w:p>
      <w:pPr>
        <w:pStyle w:val="2"/>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双狮（张家港）精细化工有限公司大致地理位置见图 2.1。</w:t>
      </w:r>
    </w:p>
    <w:p>
      <w:pPr>
        <w:pStyle w:val="2"/>
        <w:jc w:val="center"/>
        <w:rPr>
          <w:sz w:val="20"/>
        </w:rPr>
      </w:pPr>
      <w:r>
        <w:drawing>
          <wp:inline distT="0" distB="0" distL="0" distR="0">
            <wp:extent cx="4643755" cy="4104005"/>
            <wp:effectExtent l="0" t="0" r="444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4643755" cy="4104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bookmarkStart w:id="63" w:name="图2-1  浦项公司地块地理位置图"/>
      <w:bookmarkEnd w:id="63"/>
      <w:r>
        <w:rPr>
          <w:rFonts w:hint="eastAsia" w:ascii="Times New Roman" w:hAnsi="Times New Roman" w:eastAsia="黑体" w:cs="Times New Roman"/>
          <w:b/>
          <w:bCs/>
          <w:color w:val="auto"/>
          <w:kern w:val="2"/>
          <w:sz w:val="21"/>
          <w:szCs w:val="21"/>
          <w:lang w:val="en-US" w:eastAsia="zh-CN" w:bidi="ar-SA"/>
        </w:rPr>
        <w:t>图 2.1</w:t>
      </w:r>
      <w:r>
        <w:rPr>
          <w:rFonts w:hint="eastAsia" w:ascii="Times New Roman" w:hAnsi="Times New Roman" w:eastAsia="黑体" w:cs="Times New Roman"/>
          <w:b/>
          <w:bCs/>
          <w:color w:val="auto"/>
          <w:kern w:val="2"/>
          <w:sz w:val="21"/>
          <w:szCs w:val="21"/>
          <w:lang w:val="en-US" w:eastAsia="zh-CN" w:bidi="ar-SA"/>
        </w:rPr>
        <w:tab/>
      </w:r>
      <w:r>
        <w:rPr>
          <w:rFonts w:hint="eastAsia" w:ascii="Times New Roman" w:hAnsi="Times New Roman" w:eastAsia="黑体" w:cs="Times New Roman"/>
          <w:b/>
          <w:bCs/>
          <w:color w:val="auto"/>
          <w:kern w:val="2"/>
          <w:sz w:val="21"/>
          <w:szCs w:val="21"/>
          <w:lang w:val="en-US" w:eastAsia="zh-CN" w:bidi="ar-SA"/>
        </w:rPr>
        <w:t>地块地理位置图</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64" w:name="_Toc32117"/>
      <w:bookmarkStart w:id="65" w:name="_Toc22532"/>
      <w:r>
        <w:rPr>
          <w:rFonts w:hint="eastAsia" w:ascii="Times New Roman" w:hAnsi="Times New Roman" w:eastAsia="黑体" w:cs="Times New Roman"/>
          <w:color w:val="auto"/>
          <w:kern w:val="2"/>
          <w:sz w:val="28"/>
          <w:szCs w:val="28"/>
          <w:lang w:val="en-US" w:eastAsia="zh-CN" w:bidi="ar-SA"/>
        </w:rPr>
        <w:t>2.4敏感目标</w:t>
      </w:r>
      <w:bookmarkEnd w:id="64"/>
      <w:bookmarkEnd w:id="65"/>
    </w:p>
    <w:p>
      <w:pPr>
        <w:spacing w:line="360" w:lineRule="auto"/>
        <w:ind w:firstLine="480" w:firstLineChars="200"/>
        <w:rPr>
          <w:rFonts w:eastAsia="仿宋_GB2312" w:cs="Times New Roman"/>
        </w:rPr>
      </w:pPr>
      <w:r>
        <w:rPr>
          <w:rFonts w:hint="eastAsia" w:eastAsia="仿宋_GB2312" w:cs="Times New Roman"/>
        </w:rPr>
        <w:t>双狮（张家港）精细化工有限公司场地位于张家港保税区扬子江国际化学工业园长江北路（北纬31.998778°，东经120.470721°），西侧紧邻长江，北面为东华能源（张家港）新材料有限公司；东面江苏康宁化学有限公司，南侧隔东华路为孚宝物流用地和张家港保税物流园区（东区），所处园内设有完善的基础设施。</w:t>
      </w:r>
    </w:p>
    <w:p>
      <w:pPr>
        <w:spacing w:line="360" w:lineRule="auto"/>
        <w:ind w:firstLine="480" w:firstLineChars="200"/>
        <w:rPr>
          <w:rFonts w:hint="eastAsia"/>
          <w:lang w:val="en-US"/>
        </w:rPr>
      </w:pPr>
      <w:r>
        <w:rPr>
          <w:rFonts w:hint="eastAsia" w:eastAsia="仿宋_GB2312" w:cs="Times New Roman"/>
        </w:rPr>
        <w:t>根据《工业企业卫生防护距离标准》中的硫酸厂卫生防护距离标准，双狮（张家港）精细化工有限公司硫酸生产区设置 600 m卫生防护距离、氯碱装置区设置800 m卫生防护距离，在企业卫生防护距离范围内没有住宅、学校、医院、基本农田保护区、耕地等敏感保护目标。5000 m主要为北荫村、双丰村、永兴村、德丰社区、元丰社区、德积中心小学、护漕港中学、福民社区、金港镇、沙洲医院、长江张家港段等。地理位置详见图</w:t>
      </w:r>
      <w:r>
        <w:rPr>
          <w:rFonts w:hint="eastAsia" w:eastAsia="仿宋_GB2312" w:cs="Times New Roman"/>
          <w:lang w:val="en-US" w:eastAsia="zh-CN"/>
        </w:rPr>
        <w:t>2</w:t>
      </w:r>
      <w:r>
        <w:rPr>
          <w:rFonts w:hint="eastAsia" w:eastAsia="仿宋_GB2312" w:cs="Times New Roman"/>
        </w:rPr>
        <w:t>.1，周边环境现状及环境敏感区详见</w:t>
      </w:r>
      <w:r>
        <w:rPr>
          <w:rFonts w:hint="eastAsia" w:ascii="Times New Roman" w:hAnsi="Times New Roman" w:eastAsia="仿宋_GB2312" w:cs="Times New Roman"/>
          <w:color w:val="auto"/>
          <w:kern w:val="2"/>
          <w:sz w:val="24"/>
          <w:szCs w:val="24"/>
          <w:lang w:val="en-US" w:eastAsia="zh-CN" w:bidi="ar-SA"/>
        </w:rPr>
        <w:t>表2-</w:t>
      </w:r>
      <w:r>
        <w:rPr>
          <w:rFonts w:hint="eastAsia" w:eastAsia="仿宋_GB2312" w:cs="Times New Roman"/>
          <w:color w:val="auto"/>
          <w:kern w:val="2"/>
          <w:sz w:val="24"/>
          <w:szCs w:val="24"/>
          <w:lang w:val="en-US" w:eastAsia="zh-CN" w:bidi="ar-SA"/>
        </w:rPr>
        <w:t>3</w:t>
      </w:r>
      <w:r>
        <w:rPr>
          <w:rFonts w:hint="eastAsia" w:ascii="Times New Roman" w:hAnsi="Times New Roman" w:eastAsia="仿宋_GB2312" w:cs="Times New Roman"/>
          <w:color w:val="auto"/>
          <w:kern w:val="2"/>
          <w:sz w:val="24"/>
          <w:szCs w:val="24"/>
          <w:lang w:val="en-US" w:eastAsia="zh-CN" w:bidi="ar-SA"/>
        </w:rPr>
        <w:t>、</w:t>
      </w:r>
      <w:r>
        <w:rPr>
          <w:rFonts w:hint="eastAsia" w:eastAsia="仿宋_GB2312" w:cs="Times New Roman"/>
          <w:color w:val="auto"/>
          <w:kern w:val="2"/>
          <w:sz w:val="24"/>
          <w:szCs w:val="24"/>
          <w:lang w:val="en-US" w:eastAsia="zh-CN" w:bidi="ar-SA"/>
        </w:rPr>
        <w:t>表2-4、</w:t>
      </w:r>
      <w:r>
        <w:rPr>
          <w:rFonts w:hint="eastAsia" w:ascii="Times New Roman" w:hAnsi="Times New Roman" w:eastAsia="仿宋_GB2312" w:cs="Times New Roman"/>
          <w:color w:val="auto"/>
          <w:kern w:val="2"/>
          <w:sz w:val="24"/>
          <w:szCs w:val="24"/>
          <w:lang w:val="en-US" w:eastAsia="zh-CN" w:bidi="ar-SA"/>
        </w:rPr>
        <w:t>图 2.2</w:t>
      </w:r>
      <w:r>
        <w:rPr>
          <w:rFonts w:hint="eastAsia" w:eastAsia="仿宋_GB2312" w:cs="Times New Roman"/>
          <w:color w:val="auto"/>
          <w:kern w:val="2"/>
          <w:sz w:val="24"/>
          <w:szCs w:val="24"/>
          <w:lang w:val="en-US" w:eastAsia="zh-CN" w:bidi="ar-SA"/>
        </w:rPr>
        <w:t>、图2.3</w:t>
      </w:r>
      <w:r>
        <w:rPr>
          <w:rFonts w:hint="eastAsia" w:ascii="Times New Roman" w:hAnsi="Times New Roman" w:eastAsia="仿宋_GB2312" w:cs="Times New Roman"/>
          <w:color w:val="auto"/>
          <w:kern w:val="2"/>
          <w:sz w:val="24"/>
          <w:szCs w:val="24"/>
          <w:lang w:val="en-US" w:eastAsia="zh-CN" w:bidi="ar-SA"/>
        </w:rPr>
        <w:t>。</w:t>
      </w:r>
    </w:p>
    <w:p>
      <w:pPr>
        <w:spacing w:before="163" w:beforeLines="50"/>
        <w:jc w:val="center"/>
        <w:rPr>
          <w:rFonts w:hint="eastAsia" w:eastAsia="仿宋"/>
          <w:b/>
          <w:bCs/>
        </w:rPr>
      </w:pPr>
    </w:p>
    <w:p>
      <w:pPr>
        <w:spacing w:before="163" w:beforeLines="50"/>
        <w:jc w:val="center"/>
        <w:rPr>
          <w:rFonts w:hint="eastAsia" w:eastAsia="仿宋"/>
          <w:b/>
          <w:bCs/>
        </w:rPr>
      </w:pPr>
    </w:p>
    <w:p>
      <w:pPr>
        <w:spacing w:before="163" w:beforeLines="50"/>
        <w:jc w:val="center"/>
        <w:rPr>
          <w:rFonts w:eastAsia="仿宋"/>
          <w:b/>
          <w:bCs/>
        </w:rPr>
      </w:pPr>
      <w:r>
        <w:rPr>
          <w:rFonts w:hint="eastAsia" w:eastAsia="仿宋"/>
          <w:b/>
          <w:bCs/>
        </w:rPr>
        <w:t>表</w:t>
      </w:r>
      <w:r>
        <w:rPr>
          <w:rFonts w:eastAsia="仿宋"/>
          <w:b/>
          <w:bCs/>
        </w:rPr>
        <w:t xml:space="preserve">2-3 </w:t>
      </w:r>
      <w:r>
        <w:rPr>
          <w:rFonts w:hint="eastAsia" w:eastAsia="仿宋"/>
          <w:b/>
          <w:bCs/>
        </w:rPr>
        <w:t>项目周边环境或企业情况一览表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033"/>
        <w:gridCol w:w="1947"/>
        <w:gridCol w:w="2937"/>
        <w:gridCol w:w="9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533" w:type="pct"/>
            <w:tcBorders>
              <w:tl2br w:val="nil"/>
              <w:tr2bl w:val="nil"/>
            </w:tcBorders>
            <w:vAlign w:val="center"/>
          </w:tcPr>
          <w:p>
            <w:pPr>
              <w:jc w:val="center"/>
              <w:rPr>
                <w:rFonts w:eastAsia="仿宋" w:cs="Times New Roman"/>
                <w:b/>
                <w:sz w:val="21"/>
                <w:szCs w:val="21"/>
              </w:rPr>
            </w:pPr>
            <w:r>
              <w:rPr>
                <w:rFonts w:eastAsia="仿宋" w:cs="Times New Roman"/>
                <w:b/>
                <w:sz w:val="21"/>
                <w:szCs w:val="21"/>
              </w:rPr>
              <w:t>方位</w:t>
            </w:r>
          </w:p>
        </w:tc>
        <w:tc>
          <w:tcPr>
            <w:tcW w:w="1523" w:type="pct"/>
            <w:tcBorders>
              <w:tl2br w:val="nil"/>
              <w:tr2bl w:val="nil"/>
            </w:tcBorders>
            <w:vAlign w:val="center"/>
          </w:tcPr>
          <w:p>
            <w:pPr>
              <w:jc w:val="center"/>
              <w:rPr>
                <w:rFonts w:eastAsia="仿宋" w:cs="Times New Roman"/>
                <w:b/>
                <w:sz w:val="21"/>
                <w:szCs w:val="21"/>
              </w:rPr>
            </w:pPr>
            <w:r>
              <w:rPr>
                <w:rFonts w:eastAsia="仿宋" w:cs="Times New Roman"/>
                <w:b/>
                <w:sz w:val="21"/>
                <w:szCs w:val="21"/>
              </w:rPr>
              <w:t>周边环境或企业名称</w:t>
            </w:r>
          </w:p>
        </w:tc>
        <w:tc>
          <w:tcPr>
            <w:tcW w:w="978" w:type="pct"/>
            <w:tcBorders>
              <w:tl2br w:val="nil"/>
              <w:tr2bl w:val="nil"/>
            </w:tcBorders>
            <w:vAlign w:val="center"/>
          </w:tcPr>
          <w:p>
            <w:pPr>
              <w:jc w:val="center"/>
              <w:rPr>
                <w:rFonts w:eastAsia="仿宋" w:cs="Times New Roman"/>
                <w:b/>
                <w:sz w:val="21"/>
                <w:szCs w:val="21"/>
              </w:rPr>
            </w:pPr>
            <w:r>
              <w:rPr>
                <w:rFonts w:eastAsia="仿宋" w:cs="Times New Roman"/>
                <w:b/>
                <w:sz w:val="21"/>
                <w:szCs w:val="21"/>
              </w:rPr>
              <w:t>建筑设计防火规范GB50016-2014</w:t>
            </w:r>
          </w:p>
        </w:tc>
        <w:tc>
          <w:tcPr>
            <w:tcW w:w="1475" w:type="pct"/>
            <w:tcBorders>
              <w:tl2br w:val="nil"/>
              <w:tr2bl w:val="nil"/>
            </w:tcBorders>
            <w:vAlign w:val="center"/>
          </w:tcPr>
          <w:p>
            <w:pPr>
              <w:jc w:val="center"/>
              <w:rPr>
                <w:rFonts w:eastAsia="仿宋" w:cs="Times New Roman"/>
                <w:b/>
                <w:sz w:val="21"/>
                <w:szCs w:val="21"/>
              </w:rPr>
            </w:pPr>
            <w:r>
              <w:rPr>
                <w:rFonts w:eastAsia="仿宋" w:cs="Times New Roman"/>
                <w:b/>
                <w:sz w:val="21"/>
                <w:szCs w:val="21"/>
              </w:rPr>
              <w:t>与企业围墙距离</w:t>
            </w:r>
          </w:p>
        </w:tc>
        <w:tc>
          <w:tcPr>
            <w:tcW w:w="492" w:type="pct"/>
            <w:tcBorders>
              <w:tl2br w:val="nil"/>
              <w:tr2bl w:val="nil"/>
            </w:tcBorders>
            <w:vAlign w:val="center"/>
          </w:tcPr>
          <w:p>
            <w:pPr>
              <w:jc w:val="center"/>
              <w:rPr>
                <w:rFonts w:eastAsia="仿宋" w:cs="Times New Roman"/>
                <w:b/>
                <w:sz w:val="21"/>
                <w:szCs w:val="21"/>
              </w:rPr>
            </w:pPr>
            <w:r>
              <w:rPr>
                <w:rFonts w:eastAsia="仿宋" w:cs="Times New Roman"/>
                <w:b/>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33" w:type="pct"/>
            <w:vMerge w:val="restart"/>
            <w:tcBorders>
              <w:tl2br w:val="nil"/>
              <w:tr2bl w:val="nil"/>
            </w:tcBorders>
            <w:vAlign w:val="center"/>
          </w:tcPr>
          <w:p>
            <w:pPr>
              <w:jc w:val="center"/>
              <w:rPr>
                <w:rFonts w:eastAsia="仿宋" w:cs="Times New Roman"/>
                <w:sz w:val="21"/>
                <w:szCs w:val="21"/>
              </w:rPr>
            </w:pPr>
            <w:r>
              <w:rPr>
                <w:rFonts w:eastAsia="仿宋" w:cs="Times New Roman"/>
                <w:sz w:val="21"/>
                <w:szCs w:val="21"/>
              </w:rPr>
              <w:t>东</w:t>
            </w: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长江北路</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15</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15m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33" w:type="pct"/>
            <w:vMerge w:val="continue"/>
            <w:tcBorders>
              <w:tl2br w:val="nil"/>
              <w:tr2bl w:val="nil"/>
            </w:tcBorders>
            <w:vAlign w:val="center"/>
          </w:tcPr>
          <w:p>
            <w:pPr>
              <w:jc w:val="center"/>
              <w:rPr>
                <w:rFonts w:eastAsia="仿宋" w:cs="Times New Roman"/>
                <w:sz w:val="21"/>
                <w:szCs w:val="21"/>
              </w:rPr>
            </w:pP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康宁化学</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30m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33" w:type="pct"/>
            <w:vMerge w:val="restart"/>
            <w:tcBorders>
              <w:tl2br w:val="nil"/>
              <w:tr2bl w:val="nil"/>
            </w:tcBorders>
            <w:vAlign w:val="center"/>
          </w:tcPr>
          <w:p>
            <w:pPr>
              <w:jc w:val="center"/>
              <w:rPr>
                <w:rFonts w:eastAsia="仿宋" w:cs="Times New Roman"/>
                <w:sz w:val="21"/>
                <w:szCs w:val="21"/>
              </w:rPr>
            </w:pPr>
            <w:r>
              <w:rPr>
                <w:rFonts w:eastAsia="仿宋" w:cs="Times New Roman"/>
                <w:sz w:val="21"/>
                <w:szCs w:val="21"/>
              </w:rPr>
              <w:t>南</w:t>
            </w: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东华路</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15</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15m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33" w:type="pct"/>
            <w:vMerge w:val="continue"/>
            <w:tcBorders>
              <w:tl2br w:val="nil"/>
              <w:tr2bl w:val="nil"/>
            </w:tcBorders>
            <w:vAlign w:val="center"/>
          </w:tcPr>
          <w:p>
            <w:pPr>
              <w:jc w:val="center"/>
              <w:rPr>
                <w:rFonts w:eastAsia="仿宋" w:cs="Times New Roman"/>
                <w:sz w:val="21"/>
                <w:szCs w:val="21"/>
              </w:rPr>
            </w:pP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孚宝物流公司</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25</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30m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3" w:type="pct"/>
            <w:vMerge w:val="continue"/>
            <w:tcBorders>
              <w:tl2br w:val="nil"/>
              <w:tr2bl w:val="nil"/>
            </w:tcBorders>
            <w:vAlign w:val="center"/>
          </w:tcPr>
          <w:p>
            <w:pPr>
              <w:jc w:val="center"/>
              <w:rPr>
                <w:rFonts w:eastAsia="仿宋" w:cs="Times New Roman"/>
                <w:sz w:val="21"/>
                <w:szCs w:val="21"/>
              </w:rPr>
            </w:pP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保税区物流园</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12</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30m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33" w:type="pct"/>
            <w:tcBorders>
              <w:tl2br w:val="nil"/>
              <w:tr2bl w:val="nil"/>
            </w:tcBorders>
            <w:vAlign w:val="center"/>
          </w:tcPr>
          <w:p>
            <w:pPr>
              <w:jc w:val="center"/>
              <w:rPr>
                <w:rFonts w:eastAsia="仿宋" w:cs="Times New Roman"/>
                <w:sz w:val="21"/>
                <w:szCs w:val="21"/>
              </w:rPr>
            </w:pPr>
            <w:r>
              <w:rPr>
                <w:rFonts w:eastAsia="仿宋" w:cs="Times New Roman"/>
                <w:sz w:val="21"/>
                <w:szCs w:val="21"/>
              </w:rPr>
              <w:t>西</w:t>
            </w: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长江</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33" w:type="pct"/>
            <w:tcBorders>
              <w:tl2br w:val="nil"/>
              <w:tr2bl w:val="nil"/>
            </w:tcBorders>
            <w:vAlign w:val="center"/>
          </w:tcPr>
          <w:p>
            <w:pPr>
              <w:jc w:val="center"/>
              <w:rPr>
                <w:rFonts w:eastAsia="仿宋" w:cs="Times New Roman"/>
                <w:sz w:val="21"/>
                <w:szCs w:val="21"/>
              </w:rPr>
            </w:pPr>
            <w:r>
              <w:rPr>
                <w:rFonts w:eastAsia="仿宋" w:cs="Times New Roman"/>
                <w:sz w:val="21"/>
                <w:szCs w:val="21"/>
              </w:rPr>
              <w:t>西南</w:t>
            </w: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东华能源公司</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12</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20m</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33" w:type="pct"/>
            <w:tcBorders>
              <w:tl2br w:val="nil"/>
              <w:tr2bl w:val="nil"/>
            </w:tcBorders>
            <w:vAlign w:val="center"/>
          </w:tcPr>
          <w:p>
            <w:pPr>
              <w:jc w:val="center"/>
              <w:rPr>
                <w:rFonts w:eastAsia="仿宋" w:cs="Times New Roman"/>
                <w:sz w:val="21"/>
                <w:szCs w:val="21"/>
              </w:rPr>
            </w:pPr>
            <w:r>
              <w:rPr>
                <w:rFonts w:eastAsia="仿宋" w:cs="Times New Roman"/>
                <w:sz w:val="21"/>
                <w:szCs w:val="21"/>
              </w:rPr>
              <w:t>北</w:t>
            </w:r>
          </w:p>
        </w:tc>
        <w:tc>
          <w:tcPr>
            <w:tcW w:w="1523" w:type="pct"/>
            <w:tcBorders>
              <w:tl2br w:val="nil"/>
              <w:tr2bl w:val="nil"/>
            </w:tcBorders>
            <w:vAlign w:val="center"/>
          </w:tcPr>
          <w:p>
            <w:pPr>
              <w:jc w:val="center"/>
              <w:rPr>
                <w:rFonts w:eastAsia="仿宋" w:cs="Times New Roman"/>
                <w:sz w:val="21"/>
                <w:szCs w:val="21"/>
              </w:rPr>
            </w:pPr>
            <w:r>
              <w:rPr>
                <w:rFonts w:eastAsia="仿宋" w:cs="Times New Roman"/>
                <w:sz w:val="21"/>
                <w:szCs w:val="21"/>
              </w:rPr>
              <w:t>扬子江石化</w:t>
            </w:r>
          </w:p>
        </w:tc>
        <w:tc>
          <w:tcPr>
            <w:tcW w:w="978" w:type="pct"/>
            <w:tcBorders>
              <w:tl2br w:val="nil"/>
              <w:tr2bl w:val="nil"/>
            </w:tcBorders>
            <w:vAlign w:val="center"/>
          </w:tcPr>
          <w:p>
            <w:pPr>
              <w:jc w:val="center"/>
              <w:rPr>
                <w:rFonts w:eastAsia="仿宋" w:cs="Times New Roman"/>
                <w:sz w:val="21"/>
                <w:szCs w:val="21"/>
              </w:rPr>
            </w:pPr>
            <w:r>
              <w:rPr>
                <w:rFonts w:eastAsia="仿宋" w:cs="Times New Roman"/>
                <w:sz w:val="21"/>
                <w:szCs w:val="21"/>
              </w:rPr>
              <w:t>－</w:t>
            </w:r>
          </w:p>
        </w:tc>
        <w:tc>
          <w:tcPr>
            <w:tcW w:w="1475" w:type="pct"/>
            <w:tcBorders>
              <w:tl2br w:val="nil"/>
              <w:tr2bl w:val="nil"/>
            </w:tcBorders>
            <w:vAlign w:val="center"/>
          </w:tcPr>
          <w:p>
            <w:pPr>
              <w:jc w:val="center"/>
              <w:rPr>
                <w:rFonts w:eastAsia="仿宋" w:cs="Times New Roman"/>
                <w:sz w:val="21"/>
                <w:szCs w:val="21"/>
              </w:rPr>
            </w:pPr>
            <w:r>
              <w:rPr>
                <w:rFonts w:eastAsia="仿宋" w:cs="Times New Roman"/>
                <w:sz w:val="21"/>
                <w:szCs w:val="21"/>
              </w:rPr>
              <w:t>－</w:t>
            </w:r>
          </w:p>
        </w:tc>
        <w:tc>
          <w:tcPr>
            <w:tcW w:w="492" w:type="pct"/>
            <w:tcBorders>
              <w:tl2br w:val="nil"/>
              <w:tr2bl w:val="nil"/>
            </w:tcBorders>
            <w:vAlign w:val="center"/>
          </w:tcPr>
          <w:p>
            <w:pPr>
              <w:jc w:val="center"/>
              <w:rPr>
                <w:rFonts w:eastAsia="仿宋" w:cs="Times New Roman"/>
                <w:sz w:val="21"/>
                <w:szCs w:val="21"/>
              </w:rPr>
            </w:pPr>
            <w:r>
              <w:rPr>
                <w:rFonts w:eastAsia="仿宋" w:cs="Times New Roman"/>
                <w:sz w:val="21"/>
                <w:szCs w:val="21"/>
              </w:rPr>
              <w:t>符合</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表 2-</w:t>
      </w:r>
      <w:r>
        <w:rPr>
          <w:rFonts w:hint="eastAsia" w:eastAsia="黑体" w:cs="Times New Roman"/>
          <w:b/>
          <w:bCs/>
          <w:color w:val="auto"/>
          <w:kern w:val="2"/>
          <w:sz w:val="21"/>
          <w:szCs w:val="21"/>
          <w:lang w:val="en-US" w:eastAsia="zh-CN" w:bidi="ar-SA"/>
        </w:rPr>
        <w:t>4</w:t>
      </w:r>
      <w:r>
        <w:rPr>
          <w:rFonts w:hint="eastAsia" w:ascii="Times New Roman" w:hAnsi="Times New Roman" w:eastAsia="黑体" w:cs="Times New Roman"/>
          <w:b/>
          <w:bCs/>
          <w:color w:val="auto"/>
          <w:kern w:val="2"/>
          <w:sz w:val="21"/>
          <w:szCs w:val="21"/>
          <w:lang w:val="en-US" w:eastAsia="zh-CN" w:bidi="ar-SA"/>
        </w:rPr>
        <w:t xml:space="preserve">  企业周边环境风险受体情况表</w:t>
      </w:r>
    </w:p>
    <w:tbl>
      <w:tblPr>
        <w:tblStyle w:val="205"/>
        <w:tblW w:w="5000" w:type="pct"/>
        <w:jc w:val="center"/>
        <w:tblLayout w:type="autofit"/>
        <w:tblCellMar>
          <w:top w:w="0" w:type="dxa"/>
          <w:left w:w="0" w:type="dxa"/>
          <w:bottom w:w="0" w:type="dxa"/>
          <w:right w:w="0" w:type="dxa"/>
        </w:tblCellMar>
      </w:tblPr>
      <w:tblGrid>
        <w:gridCol w:w="696"/>
        <w:gridCol w:w="551"/>
        <w:gridCol w:w="623"/>
        <w:gridCol w:w="1835"/>
        <w:gridCol w:w="881"/>
        <w:gridCol w:w="1383"/>
        <w:gridCol w:w="1731"/>
        <w:gridCol w:w="979"/>
        <w:gridCol w:w="1091"/>
      </w:tblGrid>
      <w:tr>
        <w:tblPrEx>
          <w:tblCellMar>
            <w:top w:w="0" w:type="dxa"/>
            <w:left w:w="0" w:type="dxa"/>
            <w:bottom w:w="0" w:type="dxa"/>
            <w:right w:w="0" w:type="dxa"/>
          </w:tblCellMar>
        </w:tblPrEx>
        <w:trPr>
          <w:trHeight w:val="971" w:hRule="exact"/>
          <w:jc w:val="center"/>
        </w:trPr>
        <w:tc>
          <w:tcPr>
            <w:tcW w:w="356" w:type="pct"/>
            <w:tcBorders>
              <w:top w:val="single" w:color="000000" w:sz="12" w:space="0"/>
              <w:left w:val="single" w:color="000000" w:sz="12"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环境</w:t>
            </w:r>
          </w:p>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类别</w:t>
            </w:r>
          </w:p>
        </w:tc>
        <w:tc>
          <w:tcPr>
            <w:tcW w:w="282"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序号</w:t>
            </w:r>
          </w:p>
        </w:tc>
        <w:tc>
          <w:tcPr>
            <w:tcW w:w="1258" w:type="pct"/>
            <w:gridSpan w:val="2"/>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现状环境保护</w:t>
            </w:r>
          </w:p>
        </w:tc>
        <w:tc>
          <w:tcPr>
            <w:tcW w:w="451" w:type="pct"/>
            <w:tcBorders>
              <w:top w:val="single" w:color="000000" w:sz="1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与本公</w:t>
            </w:r>
          </w:p>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司方位</w:t>
            </w:r>
          </w:p>
        </w:tc>
        <w:tc>
          <w:tcPr>
            <w:tcW w:w="708" w:type="pct"/>
            <w:tcBorders>
              <w:top w:val="single" w:color="000000" w:sz="1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距厂界最近距离（m）</w:t>
            </w:r>
          </w:p>
        </w:tc>
        <w:tc>
          <w:tcPr>
            <w:tcW w:w="886"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规模</w:t>
            </w:r>
          </w:p>
        </w:tc>
        <w:tc>
          <w:tcPr>
            <w:tcW w:w="501"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功能</w:t>
            </w:r>
          </w:p>
        </w:tc>
        <w:tc>
          <w:tcPr>
            <w:tcW w:w="558" w:type="pct"/>
            <w:tcBorders>
              <w:top w:val="single" w:color="000000" w:sz="1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联系电话</w:t>
            </w:r>
          </w:p>
        </w:tc>
      </w:tr>
      <w:tr>
        <w:tblPrEx>
          <w:tblCellMar>
            <w:top w:w="0" w:type="dxa"/>
            <w:left w:w="0" w:type="dxa"/>
            <w:bottom w:w="0" w:type="dxa"/>
            <w:right w:w="0" w:type="dxa"/>
          </w:tblCellMar>
        </w:tblPrEx>
        <w:trPr>
          <w:trHeight w:val="407" w:hRule="exact"/>
          <w:jc w:val="center"/>
        </w:trPr>
        <w:tc>
          <w:tcPr>
            <w:tcW w:w="356" w:type="pct"/>
            <w:vMerge w:val="restart"/>
            <w:tcBorders>
              <w:top w:val="single" w:color="000000" w:sz="2" w:space="0"/>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大气</w:t>
            </w: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1</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东海粮油工业有限公司</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2500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粮油加工</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58388585</w:t>
            </w:r>
          </w:p>
        </w:tc>
      </w:tr>
      <w:tr>
        <w:tblPrEx>
          <w:tblCellMar>
            <w:top w:w="0" w:type="dxa"/>
            <w:left w:w="0" w:type="dxa"/>
            <w:bottom w:w="0" w:type="dxa"/>
            <w:right w:w="0" w:type="dxa"/>
          </w:tblCellMar>
        </w:tblPrEx>
        <w:trPr>
          <w:trHeight w:val="426"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2</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北荫村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1500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100</w:t>
            </w:r>
            <w:r>
              <w:rPr>
                <w:rFonts w:eastAsia="仿宋" w:cs="Times New Roman"/>
                <w:spacing w:val="-39"/>
                <w:kern w:val="0"/>
                <w:sz w:val="21"/>
                <w:szCs w:val="21"/>
                <w:lang w:eastAsia="en-US"/>
              </w:rPr>
              <w:t xml:space="preserve"> </w:t>
            </w:r>
            <w:r>
              <w:rPr>
                <w:rFonts w:eastAsia="仿宋" w:cs="Times New Roman"/>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58723728</w:t>
            </w:r>
          </w:p>
        </w:tc>
      </w:tr>
      <w:tr>
        <w:tblPrEx>
          <w:tblCellMar>
            <w:top w:w="0" w:type="dxa"/>
            <w:left w:w="0" w:type="dxa"/>
            <w:bottom w:w="0" w:type="dxa"/>
            <w:right w:w="0" w:type="dxa"/>
          </w:tblCellMar>
        </w:tblPrEx>
        <w:trPr>
          <w:trHeight w:val="418"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3</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双丰村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1400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140</w:t>
            </w:r>
            <w:r>
              <w:rPr>
                <w:rFonts w:eastAsia="仿宋" w:cs="Times New Roman"/>
                <w:spacing w:val="-39"/>
                <w:kern w:val="0"/>
                <w:sz w:val="21"/>
                <w:szCs w:val="21"/>
                <w:lang w:eastAsia="en-US"/>
              </w:rPr>
              <w:t xml:space="preserve"> </w:t>
            </w:r>
            <w:r>
              <w:rPr>
                <w:rFonts w:eastAsia="仿宋" w:cs="Times New Roman"/>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58751017</w:t>
            </w:r>
          </w:p>
        </w:tc>
      </w:tr>
      <w:tr>
        <w:tblPrEx>
          <w:tblCellMar>
            <w:top w:w="0" w:type="dxa"/>
            <w:left w:w="0" w:type="dxa"/>
            <w:bottom w:w="0" w:type="dxa"/>
            <w:right w:w="0" w:type="dxa"/>
          </w:tblCellMar>
        </w:tblPrEx>
        <w:trPr>
          <w:trHeight w:val="423"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hint="eastAsia" w:eastAsia="仿宋" w:cs="Times New Roman"/>
                <w:kern w:val="0"/>
                <w:sz w:val="21"/>
                <w:szCs w:val="21"/>
                <w:lang w:eastAsia="en-US"/>
              </w:rPr>
              <w:t>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永兴村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2050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500</w:t>
            </w:r>
            <w:r>
              <w:rPr>
                <w:rFonts w:eastAsia="仿宋" w:cs="Times New Roman"/>
                <w:spacing w:val="-39"/>
                <w:kern w:val="0"/>
                <w:sz w:val="21"/>
                <w:szCs w:val="21"/>
                <w:lang w:eastAsia="en-US"/>
              </w:rPr>
              <w:t xml:space="preserve"> </w:t>
            </w:r>
            <w:r>
              <w:rPr>
                <w:rFonts w:eastAsia="仿宋" w:cs="Times New Roman"/>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58750451</w:t>
            </w:r>
          </w:p>
        </w:tc>
      </w:tr>
      <w:tr>
        <w:tblPrEx>
          <w:tblCellMar>
            <w:top w:w="0" w:type="dxa"/>
            <w:left w:w="0" w:type="dxa"/>
            <w:bottom w:w="0" w:type="dxa"/>
            <w:right w:w="0" w:type="dxa"/>
          </w:tblCellMar>
        </w:tblPrEx>
        <w:trPr>
          <w:trHeight w:val="430"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5</w:t>
            </w:r>
          </w:p>
        </w:tc>
        <w:tc>
          <w:tcPr>
            <w:tcW w:w="319" w:type="pct"/>
            <w:vMerge w:val="restart"/>
            <w:tcBorders>
              <w:top w:val="single" w:color="000000" w:sz="2" w:space="0"/>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德 积 街 道</w:t>
            </w: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小明沙村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3200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500</w:t>
            </w:r>
            <w:r>
              <w:rPr>
                <w:rFonts w:eastAsia="仿宋" w:cs="Times New Roman"/>
                <w:spacing w:val="-39"/>
                <w:kern w:val="0"/>
                <w:sz w:val="21"/>
                <w:szCs w:val="21"/>
                <w:lang w:eastAsia="en-US"/>
              </w:rPr>
              <w:t xml:space="preserve"> </w:t>
            </w:r>
            <w:r>
              <w:rPr>
                <w:rFonts w:eastAsia="仿宋" w:cs="Times New Roman"/>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58727699</w:t>
            </w:r>
          </w:p>
        </w:tc>
      </w:tr>
      <w:tr>
        <w:tblPrEx>
          <w:tblCellMar>
            <w:top w:w="0" w:type="dxa"/>
            <w:left w:w="0" w:type="dxa"/>
            <w:bottom w:w="0" w:type="dxa"/>
            <w:right w:w="0" w:type="dxa"/>
          </w:tblCellMar>
        </w:tblPrEx>
        <w:trPr>
          <w:trHeight w:val="422"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6</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学前社区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1700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2000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58721223</w:t>
            </w:r>
          </w:p>
        </w:tc>
      </w:tr>
      <w:tr>
        <w:tblPrEx>
          <w:tblCellMar>
            <w:top w:w="0" w:type="dxa"/>
            <w:left w:w="0" w:type="dxa"/>
            <w:bottom w:w="0" w:type="dxa"/>
            <w:right w:w="0" w:type="dxa"/>
          </w:tblCellMar>
        </w:tblPrEx>
        <w:trPr>
          <w:trHeight w:val="41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7</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德丰社区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2600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4350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56932028</w:t>
            </w:r>
          </w:p>
        </w:tc>
      </w:tr>
      <w:tr>
        <w:tblPrEx>
          <w:tblCellMar>
            <w:top w:w="0" w:type="dxa"/>
            <w:left w:w="0" w:type="dxa"/>
            <w:bottom w:w="0" w:type="dxa"/>
            <w:right w:w="0" w:type="dxa"/>
          </w:tblCellMar>
        </w:tblPrEx>
        <w:trPr>
          <w:trHeight w:val="433"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8</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元丰社区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4500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56907192</w:t>
            </w:r>
          </w:p>
        </w:tc>
      </w:tr>
      <w:tr>
        <w:tblPrEx>
          <w:tblCellMar>
            <w:top w:w="0" w:type="dxa"/>
            <w:left w:w="0" w:type="dxa"/>
            <w:bottom w:w="0" w:type="dxa"/>
            <w:right w:w="0" w:type="dxa"/>
          </w:tblCellMar>
        </w:tblPrEx>
        <w:trPr>
          <w:trHeight w:val="426"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9</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德积中心小学</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1400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1292</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学校</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58750415</w:t>
            </w:r>
          </w:p>
        </w:tc>
      </w:tr>
      <w:tr>
        <w:tblPrEx>
          <w:tblCellMar>
            <w:top w:w="0" w:type="dxa"/>
            <w:left w:w="0" w:type="dxa"/>
            <w:bottom w:w="0" w:type="dxa"/>
            <w:right w:w="0" w:type="dxa"/>
          </w:tblCellMar>
        </w:tblPrEx>
        <w:trPr>
          <w:trHeight w:val="418"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10</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护漕港中学</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1000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学校</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58750466</w:t>
            </w:r>
          </w:p>
        </w:tc>
      </w:tr>
      <w:tr>
        <w:tblPrEx>
          <w:tblCellMar>
            <w:top w:w="0" w:type="dxa"/>
            <w:left w:w="0" w:type="dxa"/>
            <w:bottom w:w="0" w:type="dxa"/>
            <w:right w:w="0" w:type="dxa"/>
          </w:tblCellMar>
        </w:tblPrEx>
        <w:trPr>
          <w:trHeight w:val="42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11</w:t>
            </w:r>
          </w:p>
        </w:tc>
        <w:tc>
          <w:tcPr>
            <w:tcW w:w="319" w:type="pct"/>
            <w:vMerge w:val="continue"/>
            <w:tcBorders>
              <w:left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沙洲医院</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2100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50</w:t>
            </w:r>
            <w:r>
              <w:rPr>
                <w:rFonts w:eastAsia="仿宋" w:cs="Times New Roman"/>
                <w:spacing w:val="-28"/>
                <w:kern w:val="0"/>
                <w:sz w:val="21"/>
                <w:szCs w:val="21"/>
                <w:lang w:eastAsia="en-US"/>
              </w:rPr>
              <w:t xml:space="preserve"> </w:t>
            </w:r>
            <w:r>
              <w:rPr>
                <w:rFonts w:eastAsia="仿宋" w:cs="Times New Roman"/>
                <w:kern w:val="0"/>
                <w:sz w:val="21"/>
                <w:szCs w:val="21"/>
                <w:lang w:eastAsia="en-US"/>
              </w:rPr>
              <w:t>个病床</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医院</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58758930</w:t>
            </w:r>
          </w:p>
        </w:tc>
      </w:tr>
      <w:tr>
        <w:tblPrEx>
          <w:tblCellMar>
            <w:top w:w="0" w:type="dxa"/>
            <w:left w:w="0" w:type="dxa"/>
            <w:bottom w:w="0" w:type="dxa"/>
            <w:right w:w="0" w:type="dxa"/>
          </w:tblCellMar>
        </w:tblPrEx>
        <w:trPr>
          <w:trHeight w:val="429"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12</w:t>
            </w:r>
          </w:p>
        </w:tc>
        <w:tc>
          <w:tcPr>
            <w:tcW w:w="319" w:type="pct"/>
            <w:vMerge w:val="continue"/>
            <w:tcBorders>
              <w:left w:val="single" w:color="000000" w:sz="2" w:space="0"/>
              <w:bottom w:val="single" w:color="000000" w:sz="4"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939" w:type="pct"/>
            <w:tcBorders>
              <w:top w:val="single" w:color="000000" w:sz="2" w:space="0"/>
              <w:left w:val="single" w:color="000000" w:sz="2" w:space="0"/>
              <w:bottom w:val="single" w:color="000000" w:sz="4"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福民社区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1900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1410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58723870</w:t>
            </w:r>
          </w:p>
        </w:tc>
      </w:tr>
      <w:tr>
        <w:tblPrEx>
          <w:tblCellMar>
            <w:top w:w="0" w:type="dxa"/>
            <w:left w:w="0" w:type="dxa"/>
            <w:bottom w:w="0" w:type="dxa"/>
            <w:right w:w="0" w:type="dxa"/>
          </w:tblCellMar>
        </w:tblPrEx>
        <w:trPr>
          <w:trHeight w:val="441"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13</w:t>
            </w:r>
          </w:p>
        </w:tc>
        <w:tc>
          <w:tcPr>
            <w:tcW w:w="1258" w:type="pct"/>
            <w:gridSpan w:val="2"/>
            <w:tcBorders>
              <w:top w:val="single" w:color="000000" w:sz="4"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新套村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w w:val="91"/>
                <w:kern w:val="0"/>
                <w:sz w:val="21"/>
                <w:szCs w:val="21"/>
                <w:lang w:eastAsia="en-US"/>
              </w:rPr>
              <w:t>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3800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1662</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58750374</w:t>
            </w:r>
          </w:p>
        </w:tc>
      </w:tr>
      <w:tr>
        <w:tblPrEx>
          <w:tblCellMar>
            <w:top w:w="0" w:type="dxa"/>
            <w:left w:w="0" w:type="dxa"/>
            <w:bottom w:w="0" w:type="dxa"/>
            <w:right w:w="0" w:type="dxa"/>
          </w:tblCellMar>
        </w:tblPrEx>
        <w:trPr>
          <w:trHeight w:val="41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德积村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ESE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1700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2900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58750035</w:t>
            </w:r>
          </w:p>
        </w:tc>
      </w:tr>
      <w:tr>
        <w:tblPrEx>
          <w:tblCellMar>
            <w:top w:w="0" w:type="dxa"/>
            <w:left w:w="0" w:type="dxa"/>
            <w:bottom w:w="0" w:type="dxa"/>
            <w:right w:w="0" w:type="dxa"/>
          </w:tblCellMar>
        </w:tblPrEx>
        <w:trPr>
          <w:trHeight w:val="717"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15</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金港镇</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总</w:t>
            </w:r>
            <w:r>
              <w:rPr>
                <w:rFonts w:eastAsia="仿宋" w:cs="Times New Roman"/>
                <w:spacing w:val="-82"/>
                <w:kern w:val="0"/>
                <w:sz w:val="21"/>
                <w:szCs w:val="21"/>
                <w:lang w:eastAsia="zh-CN"/>
              </w:rPr>
              <w:t xml:space="preserve"> </w:t>
            </w:r>
            <w:r>
              <w:rPr>
                <w:rFonts w:eastAsia="仿宋" w:cs="Times New Roman"/>
                <w:kern w:val="0"/>
                <w:sz w:val="21"/>
                <w:szCs w:val="21"/>
                <w:lang w:eastAsia="zh-CN"/>
              </w:rPr>
              <w:t>30000</w:t>
            </w:r>
            <w:r>
              <w:rPr>
                <w:rFonts w:eastAsia="仿宋" w:cs="Times New Roman"/>
                <w:spacing w:val="-35"/>
                <w:kern w:val="0"/>
                <w:sz w:val="21"/>
                <w:szCs w:val="21"/>
                <w:lang w:eastAsia="zh-CN"/>
              </w:rPr>
              <w:t xml:space="preserve"> </w:t>
            </w:r>
            <w:r>
              <w:rPr>
                <w:rFonts w:eastAsia="仿宋" w:cs="Times New Roman"/>
                <w:kern w:val="0"/>
                <w:sz w:val="21"/>
                <w:szCs w:val="21"/>
                <w:lang w:eastAsia="zh-CN"/>
              </w:rPr>
              <w:t>人（5km</w:t>
            </w:r>
            <w:r>
              <w:rPr>
                <w:rFonts w:eastAsia="仿宋" w:cs="Times New Roman"/>
                <w:spacing w:val="-25"/>
                <w:kern w:val="0"/>
                <w:sz w:val="21"/>
                <w:szCs w:val="21"/>
                <w:lang w:eastAsia="zh-CN"/>
              </w:rPr>
              <w:t xml:space="preserve"> </w:t>
            </w:r>
            <w:r>
              <w:rPr>
                <w:rFonts w:eastAsia="仿宋" w:cs="Times New Roman"/>
                <w:kern w:val="0"/>
                <w:sz w:val="21"/>
                <w:szCs w:val="21"/>
                <w:lang w:eastAsia="zh-CN"/>
              </w:rPr>
              <w:t>范围内约</w:t>
            </w:r>
            <w:r>
              <w:rPr>
                <w:rFonts w:eastAsia="仿宋" w:cs="Times New Roman"/>
                <w:spacing w:val="-92"/>
                <w:kern w:val="0"/>
                <w:sz w:val="21"/>
                <w:szCs w:val="21"/>
                <w:lang w:eastAsia="zh-CN"/>
              </w:rPr>
              <w:t xml:space="preserve"> </w:t>
            </w:r>
            <w:r>
              <w:rPr>
                <w:rFonts w:eastAsia="仿宋" w:cs="Times New Roman"/>
                <w:kern w:val="0"/>
                <w:sz w:val="21"/>
                <w:szCs w:val="21"/>
                <w:lang w:eastAsia="zh-CN"/>
              </w:rPr>
              <w:t>1000</w:t>
            </w:r>
            <w:r>
              <w:rPr>
                <w:rFonts w:eastAsia="仿宋" w:cs="Times New Roman"/>
                <w:spacing w:val="-45"/>
                <w:kern w:val="0"/>
                <w:sz w:val="21"/>
                <w:szCs w:val="21"/>
                <w:lang w:eastAsia="zh-CN"/>
              </w:rPr>
              <w:t xml:space="preserve"> </w:t>
            </w:r>
            <w:r>
              <w:rPr>
                <w:rFonts w:eastAsia="仿宋" w:cs="Times New Roman"/>
                <w:kern w:val="0"/>
                <w:sz w:val="21"/>
                <w:szCs w:val="21"/>
                <w:lang w:eastAsia="zh-CN"/>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rPr>
                <w:rFonts w:eastAsia="仿宋" w:cs="Times New Roman"/>
                <w:kern w:val="0"/>
                <w:sz w:val="21"/>
                <w:szCs w:val="21"/>
                <w:lang w:eastAsia="en-US"/>
              </w:rPr>
            </w:pPr>
            <w:r>
              <w:rPr>
                <w:rFonts w:eastAsia="仿宋" w:cs="Times New Roman"/>
                <w:kern w:val="0"/>
                <w:sz w:val="21"/>
                <w:szCs w:val="21"/>
                <w:lang w:eastAsia="en-US"/>
              </w:rPr>
              <w:t>（居民）</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58699065</w:t>
            </w:r>
          </w:p>
        </w:tc>
      </w:tr>
      <w:tr>
        <w:tblPrEx>
          <w:tblCellMar>
            <w:top w:w="0" w:type="dxa"/>
            <w:left w:w="0" w:type="dxa"/>
            <w:bottom w:w="0" w:type="dxa"/>
            <w:right w:w="0" w:type="dxa"/>
          </w:tblCellMar>
        </w:tblPrEx>
        <w:trPr>
          <w:trHeight w:val="416" w:hRule="exact"/>
          <w:jc w:val="center"/>
        </w:trPr>
        <w:tc>
          <w:tcPr>
            <w:tcW w:w="356" w:type="pct"/>
            <w:vMerge w:val="continue"/>
            <w:tcBorders>
              <w:left w:val="single" w:color="000000" w:sz="1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16</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双山岛</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1000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1000</w:t>
            </w:r>
            <w:r>
              <w:rPr>
                <w:rFonts w:eastAsia="仿宋" w:cs="Times New Roman"/>
                <w:spacing w:val="-15"/>
                <w:w w:val="95"/>
                <w:kern w:val="0"/>
                <w:sz w:val="21"/>
                <w:szCs w:val="21"/>
                <w:lang w:eastAsia="en-US"/>
              </w:rPr>
              <w:t xml:space="preserve"> </w:t>
            </w:r>
            <w:r>
              <w:rPr>
                <w:rFonts w:eastAsia="仿宋" w:cs="Times New Roman"/>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居民</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5"/>
                <w:kern w:val="0"/>
                <w:sz w:val="21"/>
                <w:szCs w:val="21"/>
                <w:lang w:eastAsia="en-US"/>
              </w:rPr>
              <w:t>58302855</w:t>
            </w:r>
          </w:p>
        </w:tc>
      </w:tr>
      <w:tr>
        <w:tblPrEx>
          <w:tblCellMar>
            <w:top w:w="0" w:type="dxa"/>
            <w:left w:w="0" w:type="dxa"/>
            <w:bottom w:w="0" w:type="dxa"/>
            <w:right w:w="0" w:type="dxa"/>
          </w:tblCellMar>
        </w:tblPrEx>
        <w:trPr>
          <w:trHeight w:val="686" w:hRule="exact"/>
          <w:jc w:val="center"/>
        </w:trPr>
        <w:tc>
          <w:tcPr>
            <w:tcW w:w="356" w:type="pct"/>
            <w:vMerge w:val="restart"/>
            <w:tcBorders>
              <w:top w:val="single" w:color="000000" w:sz="2" w:space="0"/>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地表</w:t>
            </w:r>
            <w:r>
              <w:rPr>
                <w:rFonts w:eastAsia="仿宋" w:cs="Times New Roman"/>
                <w:spacing w:val="-103"/>
                <w:kern w:val="0"/>
                <w:sz w:val="21"/>
                <w:szCs w:val="21"/>
                <w:lang w:eastAsia="en-US"/>
              </w:rPr>
              <w:t xml:space="preserve"> </w:t>
            </w:r>
            <w:r>
              <w:rPr>
                <w:rFonts w:eastAsia="仿宋" w:cs="Times New Roman"/>
                <w:kern w:val="0"/>
                <w:sz w:val="21"/>
                <w:szCs w:val="21"/>
                <w:lang w:eastAsia="en-US"/>
              </w:rPr>
              <w:t>水</w:t>
            </w: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1</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东海粮油取水口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污水处理厂排口</w:t>
            </w:r>
            <w:r>
              <w:rPr>
                <w:rFonts w:eastAsia="仿宋" w:cs="Times New Roman"/>
                <w:spacing w:val="-103"/>
                <w:kern w:val="0"/>
                <w:sz w:val="21"/>
                <w:szCs w:val="21"/>
                <w:lang w:eastAsia="en-US"/>
              </w:rPr>
              <w:t xml:space="preserve"> </w:t>
            </w:r>
            <w:r>
              <w:rPr>
                <w:rFonts w:eastAsia="仿宋" w:cs="Times New Roman"/>
                <w:w w:val="95"/>
                <w:kern w:val="0"/>
                <w:sz w:val="21"/>
                <w:szCs w:val="21"/>
                <w:lang w:eastAsia="en-US"/>
              </w:rPr>
              <w:t>上游</w:t>
            </w:r>
            <w:r>
              <w:rPr>
                <w:rFonts w:eastAsia="仿宋" w:cs="Times New Roman"/>
                <w:spacing w:val="-49"/>
                <w:w w:val="95"/>
                <w:kern w:val="0"/>
                <w:sz w:val="21"/>
                <w:szCs w:val="21"/>
                <w:lang w:eastAsia="en-US"/>
              </w:rPr>
              <w:t xml:space="preserve"> </w:t>
            </w:r>
            <w:r>
              <w:rPr>
                <w:rFonts w:eastAsia="仿宋" w:cs="Times New Roman"/>
                <w:w w:val="95"/>
                <w:kern w:val="0"/>
                <w:sz w:val="21"/>
                <w:szCs w:val="21"/>
                <w:lang w:eastAsia="en-US"/>
              </w:rPr>
              <w:t>1800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3000t/d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自备水厂</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CellMar>
            <w:top w:w="0" w:type="dxa"/>
            <w:left w:w="0" w:type="dxa"/>
            <w:bottom w:w="0" w:type="dxa"/>
            <w:right w:w="0" w:type="dxa"/>
          </w:tblCellMar>
        </w:tblPrEx>
        <w:trPr>
          <w:trHeight w:val="992"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2</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热电厂取水口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污水处理厂排口</w:t>
            </w:r>
            <w:r>
              <w:rPr>
                <w:rFonts w:eastAsia="仿宋" w:cs="Times New Roman"/>
                <w:spacing w:val="-103"/>
                <w:kern w:val="0"/>
                <w:sz w:val="21"/>
                <w:szCs w:val="21"/>
                <w:lang w:eastAsia="en-US"/>
              </w:rPr>
              <w:t xml:space="preserve"> </w:t>
            </w:r>
            <w:r>
              <w:rPr>
                <w:rFonts w:eastAsia="仿宋" w:cs="Times New Roman"/>
                <w:w w:val="95"/>
                <w:kern w:val="0"/>
                <w:sz w:val="21"/>
                <w:szCs w:val="21"/>
                <w:lang w:eastAsia="en-US"/>
              </w:rPr>
              <w:t>上游</w:t>
            </w:r>
            <w:r>
              <w:rPr>
                <w:rFonts w:eastAsia="仿宋" w:cs="Times New Roman"/>
                <w:spacing w:val="-49"/>
                <w:w w:val="95"/>
                <w:kern w:val="0"/>
                <w:sz w:val="21"/>
                <w:szCs w:val="21"/>
                <w:lang w:eastAsia="en-US"/>
              </w:rPr>
              <w:t xml:space="preserve"> </w:t>
            </w:r>
            <w:r>
              <w:rPr>
                <w:rFonts w:eastAsia="仿宋" w:cs="Times New Roman"/>
                <w:w w:val="95"/>
                <w:kern w:val="0"/>
                <w:sz w:val="21"/>
                <w:szCs w:val="21"/>
                <w:lang w:eastAsia="en-US"/>
              </w:rPr>
              <w:t>2200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自备水厂</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CellMar>
            <w:top w:w="0" w:type="dxa"/>
            <w:left w:w="0" w:type="dxa"/>
            <w:bottom w:w="0" w:type="dxa"/>
            <w:right w:w="0" w:type="dxa"/>
          </w:tblCellMar>
        </w:tblPrEx>
        <w:trPr>
          <w:trHeight w:val="737"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3</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张家港第三水厂取水口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污水处理厂排口</w:t>
            </w:r>
            <w:r>
              <w:rPr>
                <w:rFonts w:eastAsia="仿宋" w:cs="Times New Roman"/>
                <w:spacing w:val="-103"/>
                <w:kern w:val="0"/>
                <w:sz w:val="21"/>
                <w:szCs w:val="21"/>
                <w:lang w:eastAsia="en-US"/>
              </w:rPr>
              <w:t xml:space="preserve"> </w:t>
            </w:r>
            <w:r>
              <w:rPr>
                <w:rFonts w:eastAsia="仿宋" w:cs="Times New Roman"/>
                <w:w w:val="95"/>
                <w:kern w:val="0"/>
                <w:sz w:val="21"/>
                <w:szCs w:val="21"/>
                <w:lang w:eastAsia="en-US"/>
              </w:rPr>
              <w:t>下游</w:t>
            </w:r>
            <w:r>
              <w:rPr>
                <w:rFonts w:eastAsia="仿宋" w:cs="Times New Roman"/>
                <w:spacing w:val="-54"/>
                <w:w w:val="95"/>
                <w:kern w:val="0"/>
                <w:sz w:val="21"/>
                <w:szCs w:val="21"/>
                <w:lang w:eastAsia="en-US"/>
              </w:rPr>
              <w:t xml:space="preserve"> </w:t>
            </w:r>
            <w:r>
              <w:rPr>
                <w:rFonts w:eastAsia="仿宋" w:cs="Times New Roman"/>
                <w:w w:val="95"/>
                <w:kern w:val="0"/>
                <w:sz w:val="21"/>
                <w:szCs w:val="21"/>
                <w:lang w:eastAsia="en-US"/>
              </w:rPr>
              <w:t>15000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200000t/d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区域供水</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CellMar>
            <w:top w:w="0" w:type="dxa"/>
            <w:left w:w="0" w:type="dxa"/>
            <w:bottom w:w="0" w:type="dxa"/>
            <w:right w:w="0" w:type="dxa"/>
          </w:tblCellMar>
        </w:tblPrEx>
        <w:trPr>
          <w:trHeight w:val="719"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张家港第四水厂取水口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污水处理厂排口</w:t>
            </w:r>
            <w:r>
              <w:rPr>
                <w:rFonts w:eastAsia="仿宋" w:cs="Times New Roman"/>
                <w:spacing w:val="-103"/>
                <w:kern w:val="0"/>
                <w:sz w:val="21"/>
                <w:szCs w:val="21"/>
                <w:lang w:eastAsia="en-US"/>
              </w:rPr>
              <w:t xml:space="preserve"> </w:t>
            </w:r>
            <w:r>
              <w:rPr>
                <w:rFonts w:eastAsia="仿宋" w:cs="Times New Roman"/>
                <w:w w:val="95"/>
                <w:kern w:val="0"/>
                <w:sz w:val="21"/>
                <w:szCs w:val="21"/>
                <w:lang w:eastAsia="en-US"/>
              </w:rPr>
              <w:t>下游</w:t>
            </w:r>
            <w:r>
              <w:rPr>
                <w:rFonts w:eastAsia="仿宋" w:cs="Times New Roman"/>
                <w:spacing w:val="-54"/>
                <w:w w:val="95"/>
                <w:kern w:val="0"/>
                <w:sz w:val="21"/>
                <w:szCs w:val="21"/>
                <w:lang w:eastAsia="en-US"/>
              </w:rPr>
              <w:t xml:space="preserve"> </w:t>
            </w:r>
            <w:r>
              <w:rPr>
                <w:rFonts w:eastAsia="仿宋" w:cs="Times New Roman"/>
                <w:w w:val="95"/>
                <w:kern w:val="0"/>
                <w:sz w:val="21"/>
                <w:szCs w:val="21"/>
                <w:lang w:eastAsia="en-US"/>
              </w:rPr>
              <w:t>15000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400000t/d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区域供水</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CellMar>
            <w:top w:w="0" w:type="dxa"/>
            <w:left w:w="0" w:type="dxa"/>
            <w:bottom w:w="0" w:type="dxa"/>
            <w:right w:w="0" w:type="dxa"/>
          </w:tblCellMar>
        </w:tblPrEx>
        <w:trPr>
          <w:trHeight w:val="701" w:hRule="exact"/>
          <w:jc w:val="center"/>
        </w:trPr>
        <w:tc>
          <w:tcPr>
            <w:tcW w:w="356" w:type="pct"/>
            <w:vMerge w:val="continue"/>
            <w:tcBorders>
              <w:left w:val="single" w:color="000000" w:sz="1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w w:val="90"/>
                <w:kern w:val="0"/>
                <w:sz w:val="21"/>
                <w:szCs w:val="21"/>
                <w:lang w:eastAsia="en-US"/>
              </w:rPr>
              <w:t>5</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spacing w:val="-19"/>
                <w:kern w:val="0"/>
                <w:sz w:val="21"/>
                <w:szCs w:val="21"/>
                <w:lang w:eastAsia="en-US"/>
              </w:rPr>
              <w:t>长江张家港段</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zh-CN"/>
              </w:rPr>
            </w:pPr>
            <w:r>
              <w:rPr>
                <w:rFonts w:eastAsia="仿宋" w:cs="Times New Roman"/>
                <w:w w:val="95"/>
                <w:kern w:val="0"/>
                <w:sz w:val="21"/>
                <w:szCs w:val="21"/>
                <w:lang w:eastAsia="zh-CN"/>
              </w:rPr>
              <w:t>厂区距离</w:t>
            </w:r>
            <w:r>
              <w:rPr>
                <w:rFonts w:eastAsia="仿宋" w:cs="Times New Roman"/>
                <w:spacing w:val="-25"/>
                <w:w w:val="95"/>
                <w:kern w:val="0"/>
                <w:sz w:val="21"/>
                <w:szCs w:val="21"/>
                <w:lang w:eastAsia="zh-CN"/>
              </w:rPr>
              <w:t xml:space="preserve"> </w:t>
            </w:r>
            <w:r>
              <w:rPr>
                <w:rFonts w:eastAsia="仿宋" w:cs="Times New Roman"/>
                <w:w w:val="95"/>
                <w:kern w:val="0"/>
                <w:sz w:val="21"/>
                <w:szCs w:val="21"/>
                <w:lang w:eastAsia="zh-CN"/>
              </w:rPr>
              <w:t>500m</w:t>
            </w:r>
          </w:p>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码头位于长江边</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大河</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河流</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CellMar>
            <w:top w:w="0" w:type="dxa"/>
            <w:left w:w="0" w:type="dxa"/>
            <w:bottom w:w="0" w:type="dxa"/>
            <w:right w:w="0" w:type="dxa"/>
          </w:tblCellMar>
        </w:tblPrEx>
        <w:trPr>
          <w:trHeight w:val="839" w:hRule="exact"/>
          <w:jc w:val="center"/>
        </w:trPr>
        <w:tc>
          <w:tcPr>
            <w:tcW w:w="5000" w:type="pct"/>
            <w:gridSpan w:val="9"/>
            <w:tcBorders>
              <w:top w:val="single" w:color="000000" w:sz="2" w:space="0"/>
              <w:left w:val="single" w:color="000000" w:sz="12" w:space="0"/>
              <w:bottom w:val="single" w:color="000000" w:sz="12" w:space="0"/>
              <w:right w:val="single" w:color="000000" w:sz="12" w:space="0"/>
            </w:tcBorders>
            <w:vAlign w:val="center"/>
          </w:tcPr>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注：大气环境距离是指</w:t>
            </w:r>
            <w:r>
              <w:rPr>
                <w:rFonts w:hint="eastAsia" w:eastAsia="仿宋" w:cs="Times New Roman"/>
                <w:spacing w:val="-3"/>
                <w:kern w:val="0"/>
                <w:sz w:val="21"/>
                <w:szCs w:val="21"/>
                <w:lang w:eastAsia="zh-CN"/>
              </w:rPr>
              <w:t>项目</w:t>
            </w:r>
            <w:r>
              <w:rPr>
                <w:rFonts w:eastAsia="仿宋" w:cs="Times New Roman"/>
                <w:spacing w:val="-3"/>
                <w:kern w:val="0"/>
                <w:sz w:val="21"/>
                <w:szCs w:val="21"/>
                <w:lang w:eastAsia="zh-CN"/>
              </w:rPr>
              <w:t>所在地距各保护目标的距离；水环境距离是污水处理厂排水口距各取水口</w:t>
            </w:r>
            <w:r>
              <w:rPr>
                <w:rFonts w:eastAsia="仿宋" w:cs="Times New Roman"/>
                <w:spacing w:val="-50"/>
                <w:kern w:val="0"/>
                <w:sz w:val="21"/>
                <w:szCs w:val="21"/>
                <w:lang w:eastAsia="zh-CN"/>
              </w:rPr>
              <w:t xml:space="preserve"> </w:t>
            </w:r>
            <w:r>
              <w:rPr>
                <w:rFonts w:eastAsia="仿宋" w:cs="Times New Roman"/>
                <w:w w:val="95"/>
                <w:kern w:val="0"/>
                <w:sz w:val="21"/>
                <w:szCs w:val="21"/>
                <w:lang w:eastAsia="zh-CN"/>
              </w:rPr>
              <w:t>的距离。第四水厂与第三水厂共用一个取水口，其水源保护区范围为取水口上游3000m下游3000m。</w:t>
            </w:r>
          </w:p>
        </w:tc>
      </w:tr>
    </w:tbl>
    <w:p>
      <w:pPr>
        <w:pStyle w:val="2"/>
        <w:jc w:val="center"/>
        <w:rPr>
          <w:szCs w:val="28"/>
        </w:rPr>
      </w:pPr>
      <w:r>
        <w:drawing>
          <wp:inline distT="0" distB="0" distL="0" distR="0">
            <wp:extent cx="5687695" cy="4472940"/>
            <wp:effectExtent l="0" t="0" r="8255" b="381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7"/>
                    <a:stretch>
                      <a:fillRect/>
                    </a:stretch>
                  </pic:blipFill>
                  <pic:spPr>
                    <a:xfrm>
                      <a:off x="0" y="0"/>
                      <a:ext cx="5688000" cy="447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图2.2 公司周边环境现状示意图</w:t>
      </w:r>
    </w:p>
    <w:p>
      <w:pPr>
        <w:pStyle w:val="2"/>
        <w:jc w:val="center"/>
        <w:rPr>
          <w:sz w:val="20"/>
        </w:rPr>
      </w:pPr>
      <w:r>
        <w:drawing>
          <wp:inline distT="0" distB="0" distL="0" distR="0">
            <wp:extent cx="5486400" cy="4046220"/>
            <wp:effectExtent l="0" t="0" r="0"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5486400" cy="4046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kern w:val="2"/>
          <w:sz w:val="21"/>
          <w:szCs w:val="21"/>
          <w:lang w:val="en-US" w:eastAsia="zh-CN" w:bidi="ar-SA"/>
        </w:rPr>
      </w:pPr>
      <w:bookmarkStart w:id="66" w:name="图2-2  浦项公司大新镇厂区厂界1000m半径范围内敏感目标分布"/>
      <w:bookmarkEnd w:id="66"/>
      <w:r>
        <w:rPr>
          <w:rFonts w:hint="default" w:ascii="Times New Roman" w:hAnsi="Times New Roman" w:eastAsia="黑体" w:cs="Times New Roman"/>
          <w:b/>
          <w:bCs/>
          <w:color w:val="auto"/>
          <w:kern w:val="2"/>
          <w:sz w:val="21"/>
          <w:szCs w:val="21"/>
          <w:lang w:val="en-US" w:eastAsia="zh-CN" w:bidi="ar-SA"/>
        </w:rPr>
        <w:t>图 2.</w:t>
      </w:r>
      <w:r>
        <w:rPr>
          <w:rFonts w:hint="eastAsia" w:ascii="Times New Roman" w:hAnsi="Times New Roman" w:eastAsia="黑体" w:cs="Times New Roman"/>
          <w:b/>
          <w:bCs/>
          <w:color w:val="auto"/>
          <w:kern w:val="2"/>
          <w:sz w:val="21"/>
          <w:szCs w:val="21"/>
          <w:lang w:val="en-US" w:eastAsia="zh-CN" w:bidi="ar-SA"/>
        </w:rPr>
        <w:t>3</w:t>
      </w:r>
      <w:r>
        <w:rPr>
          <w:rFonts w:hint="default" w:ascii="Times New Roman" w:hAnsi="Times New Roman" w:eastAsia="黑体" w:cs="Times New Roman"/>
          <w:b/>
          <w:bCs/>
          <w:color w:val="auto"/>
          <w:kern w:val="2"/>
          <w:sz w:val="21"/>
          <w:szCs w:val="21"/>
          <w:lang w:val="en-US" w:eastAsia="zh-CN" w:bidi="ar-SA"/>
        </w:rPr>
        <w:tab/>
      </w:r>
      <w:r>
        <w:rPr>
          <w:rFonts w:hint="default" w:ascii="Times New Roman" w:hAnsi="Times New Roman" w:eastAsia="黑体" w:cs="Times New Roman"/>
          <w:b/>
          <w:bCs/>
          <w:color w:val="auto"/>
          <w:kern w:val="2"/>
          <w:sz w:val="21"/>
          <w:szCs w:val="21"/>
          <w:lang w:val="en-US" w:eastAsia="zh-CN" w:bidi="ar-SA"/>
        </w:rPr>
        <w:t>公司</w:t>
      </w:r>
      <w:r>
        <w:rPr>
          <w:rFonts w:hint="eastAsia" w:ascii="Times New Roman" w:hAnsi="Times New Roman" w:eastAsia="黑体" w:cs="Times New Roman"/>
          <w:b/>
          <w:bCs/>
          <w:color w:val="auto"/>
          <w:kern w:val="2"/>
          <w:sz w:val="21"/>
          <w:szCs w:val="21"/>
          <w:lang w:val="en-US" w:eastAsia="zh-CN" w:bidi="ar-SA"/>
        </w:rPr>
        <w:t xml:space="preserve"> 5km</w:t>
      </w:r>
      <w:r>
        <w:rPr>
          <w:rFonts w:hint="default" w:ascii="Times New Roman" w:hAnsi="Times New Roman" w:eastAsia="黑体" w:cs="Times New Roman"/>
          <w:b/>
          <w:bCs/>
          <w:color w:val="auto"/>
          <w:kern w:val="2"/>
          <w:sz w:val="21"/>
          <w:szCs w:val="21"/>
          <w:lang w:val="en-US" w:eastAsia="zh-CN" w:bidi="ar-SA"/>
        </w:rPr>
        <w:t>范围内敏感目标分布</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67" w:name="2.5 环境风险源基本情况"/>
      <w:bookmarkEnd w:id="67"/>
      <w:bookmarkStart w:id="68" w:name="_bookmark11"/>
      <w:bookmarkEnd w:id="68"/>
      <w:bookmarkStart w:id="69" w:name="_Toc11602"/>
      <w:bookmarkStart w:id="70" w:name="_Toc36"/>
      <w:r>
        <w:rPr>
          <w:rFonts w:hint="eastAsia" w:ascii="Times New Roman" w:hAnsi="Times New Roman" w:eastAsia="黑体" w:cs="Times New Roman"/>
          <w:color w:val="auto"/>
          <w:kern w:val="2"/>
          <w:sz w:val="28"/>
          <w:szCs w:val="28"/>
          <w:lang w:val="en-US" w:eastAsia="zh-CN" w:bidi="ar-SA"/>
        </w:rPr>
        <w:t>2.5环境风险源基本情况</w:t>
      </w:r>
      <w:bookmarkEnd w:id="69"/>
      <w:bookmarkEnd w:id="70"/>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71" w:name="2.5.1 总平面布局"/>
      <w:bookmarkEnd w:id="71"/>
      <w:bookmarkStart w:id="72" w:name="2.5.1 总平面布局"/>
      <w:bookmarkEnd w:id="72"/>
      <w:bookmarkStart w:id="73" w:name="_Toc6207"/>
      <w:bookmarkStart w:id="74" w:name="_Toc12264"/>
      <w:r>
        <w:rPr>
          <w:rFonts w:hint="eastAsia" w:ascii="Times New Roman" w:hAnsi="Times New Roman" w:eastAsia="仿宋_GB2312" w:cs="Times New Roman"/>
          <w:color w:val="auto"/>
          <w:kern w:val="2"/>
          <w:sz w:val="24"/>
          <w:szCs w:val="24"/>
          <w:lang w:val="en-US" w:eastAsia="zh-CN" w:bidi="ar-SA"/>
        </w:rPr>
        <w:t>2.5.1总平面布局</w:t>
      </w:r>
      <w:bookmarkEnd w:id="73"/>
      <w:bookmarkEnd w:id="74"/>
    </w:p>
    <w:p>
      <w:pPr>
        <w:spacing w:line="360" w:lineRule="auto"/>
        <w:ind w:firstLine="480" w:firstLineChars="200"/>
        <w:rPr>
          <w:rFonts w:eastAsia="仿宋_GB2312" w:cs="Times New Roman"/>
        </w:rPr>
      </w:pPr>
      <w:r>
        <w:rPr>
          <w:rFonts w:hint="eastAsia" w:eastAsia="仿宋_GB2312" w:cs="Times New Roman"/>
        </w:rPr>
        <w:t>项目场地位于张家港保税区扬子江国际化学工业园长江北路，北侧邻东华能源（张家港）新材料有限公司，西侧临东华能源股份有限公司，东侧为长江北路，南侧为张家港保税物流园区（东区），占地面积925多亩</w:t>
      </w:r>
      <w:r>
        <w:rPr>
          <w:rFonts w:eastAsia="仿宋_GB2312" w:cs="Times New Roman"/>
        </w:rPr>
        <w:t>，</w:t>
      </w:r>
      <w:r>
        <w:rPr>
          <w:rFonts w:hint="eastAsia" w:eastAsia="仿宋_GB2312" w:cs="Times New Roman"/>
        </w:rPr>
        <w:t>分为生产厂区和码头区两大区域。整个平面布置按功能要求分区合理、明确，且厂房四周为宽4~8m环形通道，交通顺畅，充分满足生产和消防的要求。厂区设有人流、物流出入口，厂区内部可环形通道相连，确保安全。</w:t>
      </w:r>
      <w:r>
        <w:rPr>
          <w:rFonts w:eastAsia="仿宋_GB2312" w:cs="Times New Roman"/>
        </w:rPr>
        <w:t>目前，</w:t>
      </w:r>
      <w:r>
        <w:rPr>
          <w:rFonts w:hint="eastAsia" w:eastAsia="仿宋_GB2312" w:cs="Times New Roman"/>
        </w:rPr>
        <w:t>场地内主要功能区有生产区、储罐区、装卸区、危废贮存区、废水处置区、应急池、辅助功能区、办公区和生活区，厂区内建、构筑物可分为：</w:t>
      </w:r>
    </w:p>
    <w:p>
      <w:pPr>
        <w:spacing w:line="360" w:lineRule="auto"/>
        <w:ind w:firstLine="480" w:firstLineChars="200"/>
        <w:rPr>
          <w:rFonts w:eastAsia="仿宋_GB2312" w:cs="Times New Roman"/>
        </w:rPr>
      </w:pPr>
      <w:r>
        <w:rPr>
          <w:rFonts w:eastAsia="仿宋_GB2312" w:cs="Times New Roman"/>
        </w:rPr>
        <w:t>（1）</w:t>
      </w:r>
      <w:r>
        <w:rPr>
          <w:rFonts w:hint="eastAsia" w:eastAsia="仿宋_GB2312" w:cs="Times New Roman"/>
        </w:rPr>
        <w:t>生产区：一期硫酸生产装置区、二期硫酸生产装置区、氯磺酸生产装置区、一期氯系列产品生产装置区和二期氯系列产品生产装置区等；</w:t>
      </w:r>
    </w:p>
    <w:p>
      <w:pPr>
        <w:spacing w:line="360" w:lineRule="auto"/>
        <w:ind w:firstLine="480" w:firstLineChars="200"/>
        <w:rPr>
          <w:rFonts w:eastAsia="仿宋_GB2312" w:cs="Times New Roman"/>
        </w:rPr>
      </w:pPr>
      <w:r>
        <w:rPr>
          <w:rFonts w:eastAsia="仿宋_GB2312" w:cs="Times New Roman"/>
        </w:rPr>
        <w:t>（2）</w:t>
      </w:r>
      <w:r>
        <w:rPr>
          <w:rFonts w:hint="eastAsia" w:eastAsia="仿宋_GB2312" w:cs="Times New Roman"/>
        </w:rPr>
        <w:t>储存区：储罐区、仓库区、工业盐和硫磺堆场、危废仓库等；</w:t>
      </w:r>
    </w:p>
    <w:p>
      <w:pPr>
        <w:spacing w:line="360" w:lineRule="auto"/>
        <w:ind w:firstLine="480" w:firstLineChars="200"/>
        <w:rPr>
          <w:rFonts w:eastAsia="仿宋_GB2312" w:cs="Times New Roman"/>
        </w:rPr>
      </w:pPr>
      <w:r>
        <w:rPr>
          <w:rFonts w:hint="eastAsia" w:eastAsia="仿宋_GB2312" w:cs="Times New Roman"/>
        </w:rPr>
        <w:t>（3）辅助工程：配电房、循环水池、管线、污水处理处置设施、废气治理设施等；</w:t>
      </w:r>
    </w:p>
    <w:p>
      <w:pPr>
        <w:spacing w:line="360" w:lineRule="auto"/>
        <w:ind w:firstLine="480" w:firstLineChars="200"/>
        <w:rPr>
          <w:rFonts w:eastAsia="仿宋_GB2312" w:cs="Times New Roman"/>
        </w:rPr>
      </w:pPr>
      <w:r>
        <w:rPr>
          <w:rFonts w:eastAsia="仿宋_GB2312" w:cs="Times New Roman"/>
        </w:rPr>
        <w:t>（4）</w:t>
      </w:r>
      <w:r>
        <w:rPr>
          <w:rFonts w:hint="eastAsia" w:eastAsia="仿宋_GB2312" w:cs="Times New Roman"/>
        </w:rPr>
        <w:t>公用工程：供排水、供配电、天然气、道路、绿化等；</w:t>
      </w:r>
    </w:p>
    <w:p>
      <w:pPr>
        <w:spacing w:line="360" w:lineRule="auto"/>
        <w:ind w:firstLine="480" w:firstLineChars="200"/>
        <w:rPr>
          <w:rFonts w:hint="eastAsia" w:eastAsia="仿宋_GB2312" w:cs="Times New Roman"/>
          <w:lang w:eastAsia="zh-CN"/>
        </w:rPr>
      </w:pPr>
      <w:r>
        <w:rPr>
          <w:rFonts w:hint="eastAsia" w:eastAsia="仿宋_GB2312" w:cs="Times New Roman"/>
        </w:rPr>
        <w:t>（5）办公及生活设施：办公区、宿舍、食堂、门卫室等</w:t>
      </w:r>
      <w:r>
        <w:rPr>
          <w:rFonts w:hint="eastAsia" w:eastAsia="仿宋_GB2312" w:cs="Times New Roman"/>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厂区平面布置图见</w:t>
      </w:r>
      <w:r>
        <w:rPr>
          <w:rFonts w:hint="eastAsia" w:ascii="Times New Roman" w:hAnsi="Times New Roman" w:eastAsia="仿宋_GB2312" w:cs="Times New Roman"/>
          <w:color w:val="auto"/>
          <w:kern w:val="2"/>
          <w:sz w:val="24"/>
          <w:szCs w:val="24"/>
          <w:lang w:val="en-US" w:eastAsia="zh-CN" w:bidi="ar-SA"/>
        </w:rPr>
        <w:t>2.4</w:t>
      </w:r>
      <w:r>
        <w:rPr>
          <w:rFonts w:hint="eastAsia" w:ascii="Times New Roman" w:hAnsi="Times New Roman" w:eastAsia="仿宋_GB2312" w:cs="Times New Roman"/>
          <w:color w:val="auto"/>
          <w:kern w:val="2"/>
          <w:sz w:val="24"/>
          <w:szCs w:val="24"/>
          <w:lang w:val="zh-CN" w:eastAsia="zh-CN" w:bidi="ar-SA"/>
        </w:rPr>
        <w:t>。</w:t>
      </w:r>
    </w:p>
    <w:p>
      <w:pPr>
        <w:pStyle w:val="2"/>
        <w:rPr>
          <w:rFonts w:hint="eastAsia" w:eastAsia="仿宋_GB2312" w:cs="Times New Roman"/>
          <w:lang w:eastAsia="zh-CN"/>
        </w:rPr>
        <w:sectPr>
          <w:footerReference r:id="rId10" w:type="default"/>
          <w:pgSz w:w="11906" w:h="16838"/>
          <w:pgMar w:top="1440" w:right="1083" w:bottom="1440" w:left="1083" w:header="851" w:footer="794" w:gutter="0"/>
          <w:pgBorders>
            <w:top w:val="none" w:sz="0" w:space="0"/>
            <w:left w:val="none" w:sz="0" w:space="0"/>
            <w:bottom w:val="none" w:sz="0" w:space="0"/>
            <w:right w:val="none" w:sz="0" w:space="0"/>
          </w:pgBorders>
          <w:pgNumType w:fmt="decimal" w:start="1"/>
          <w:cols w:space="425" w:num="1"/>
          <w:docGrid w:type="lines" w:linePitch="326"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
          <w:sz w:val="28"/>
          <w:szCs w:val="28"/>
        </w:rPr>
      </w:pPr>
      <w:r>
        <w:rPr>
          <w:rFonts w:eastAsia="仿宋"/>
          <w:sz w:val="28"/>
          <w:szCs w:val="28"/>
        </w:rPr>
        <w:drawing>
          <wp:inline distT="0" distB="0" distL="0" distR="0">
            <wp:extent cx="7104380" cy="5525770"/>
            <wp:effectExtent l="9525" t="9525" r="10795" b="27305"/>
            <wp:docPr id="7" name="图片 7" descr="H:\20双狮环境应急预案PDF版\20双狮环境应急预案PDF版\附图\附图4  项目雨污水管网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20双狮环境应急预案PDF版\20双狮环境应急预案PDF版\附图\附图4  项目雨污水管网图 Model (1).jpg"/>
                    <pic:cNvPicPr>
                      <a:picLocks noChangeAspect="1" noChangeArrowheads="1"/>
                    </pic:cNvPicPr>
                  </pic:nvPicPr>
                  <pic:blipFill>
                    <a:blip r:embed="rId19" cstate="print">
                      <a:extLst>
                        <a:ext uri="{28A0092B-C50C-407E-A947-70E740481C1C}">
                          <a14:useLocalDpi xmlns:a14="http://schemas.microsoft.com/office/drawing/2010/main" val="0"/>
                        </a:ext>
                      </a:extLst>
                    </a:blip>
                    <a:srcRect l="7381" t="3417" r="9557" b="5095"/>
                    <a:stretch>
                      <a:fillRect/>
                    </a:stretch>
                  </pic:blipFill>
                  <pic:spPr>
                    <a:xfrm>
                      <a:off x="0" y="0"/>
                      <a:ext cx="7104380" cy="552577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图2.4 厂区平面布置示意图</w:t>
      </w:r>
    </w:p>
    <w:p>
      <w:pPr>
        <w:pStyle w:val="2"/>
        <w:rPr>
          <w:rFonts w:hint="eastAsia" w:eastAsia="仿宋_GB2312" w:cs="Times New Roman"/>
          <w:lang w:eastAsia="zh-CN"/>
        </w:rPr>
        <w:sectPr>
          <w:pgSz w:w="16838" w:h="11906" w:orient="landscape"/>
          <w:pgMar w:top="1083" w:right="1440" w:bottom="1083" w:left="1440" w:header="851" w:footer="794" w:gutter="0"/>
          <w:pgBorders>
            <w:top w:val="none" w:sz="0" w:space="0"/>
            <w:left w:val="none" w:sz="0" w:space="0"/>
            <w:bottom w:val="none" w:sz="0" w:space="0"/>
            <w:right w:val="none" w:sz="0" w:space="0"/>
          </w:pgBorders>
          <w:pgNumType w:fmt="decimal"/>
          <w:cols w:space="425" w:num="1"/>
          <w:docGrid w:type="lines" w:linePitch="326" w:charSpace="0"/>
        </w:sectPr>
      </w:pP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75" w:name="2.4 敏感目标"/>
      <w:bookmarkEnd w:id="75"/>
      <w:bookmarkStart w:id="76" w:name="_bookmark10"/>
      <w:bookmarkEnd w:id="76"/>
      <w:bookmarkStart w:id="77" w:name="_Toc26392"/>
      <w:bookmarkStart w:id="78" w:name="_Toc3301"/>
      <w:r>
        <w:rPr>
          <w:rFonts w:hint="eastAsia" w:ascii="Times New Roman" w:hAnsi="Times New Roman" w:eastAsia="仿宋_GB2312" w:cs="Times New Roman"/>
          <w:color w:val="auto"/>
          <w:kern w:val="2"/>
          <w:sz w:val="24"/>
          <w:szCs w:val="24"/>
          <w:lang w:val="en-US" w:eastAsia="zh-CN" w:bidi="ar-SA"/>
        </w:rPr>
        <w:t>2.5.2产品方案</w:t>
      </w:r>
      <w:bookmarkEnd w:id="77"/>
      <w:bookmarkEnd w:id="78"/>
    </w:p>
    <w:p>
      <w:pPr>
        <w:spacing w:line="360" w:lineRule="auto"/>
        <w:ind w:firstLine="480" w:firstLineChars="200"/>
        <w:rPr>
          <w:rFonts w:eastAsia="仿宋_GB2312" w:cs="Times New Roman"/>
        </w:rPr>
      </w:pPr>
      <w:bookmarkStart w:id="79" w:name="_Toc24511"/>
      <w:r>
        <w:rPr>
          <w:rFonts w:hint="eastAsia" w:eastAsia="仿宋_GB2312" w:cs="Times New Roman"/>
        </w:rPr>
        <w:t>双狮（张家港）精细化工有限公司主要产品98.5%硫酸，32%烧碱，48%烧碱，氯磺酸、液氯，31%盐酸，13%次氯酸钠等，环评中提到的银法甲醛项目并没有实施，主要产品信息汇总如下：</w:t>
      </w:r>
    </w:p>
    <w:p>
      <w:pPr>
        <w:pStyle w:val="97"/>
        <w:jc w:val="center"/>
        <w:rPr>
          <w:rFonts w:hint="default" w:ascii="Times New Roman" w:hAnsi="Times New Roman" w:eastAsia="黑体" w:cs="Times New Roman"/>
          <w:b/>
          <w:bCs/>
          <w:sz w:val="21"/>
          <w:szCs w:val="21"/>
        </w:rPr>
      </w:pPr>
      <w:r>
        <w:rPr>
          <w:rFonts w:hint="default" w:ascii="Times New Roman" w:hAnsi="Times New Roman" w:eastAsia="黑体" w:cs="Times New Roman"/>
          <w:b/>
          <w:bCs/>
          <w:sz w:val="21"/>
          <w:szCs w:val="21"/>
        </w:rPr>
        <w:t>表2-</w:t>
      </w:r>
      <w:r>
        <w:rPr>
          <w:rFonts w:hint="default" w:ascii="Times New Roman" w:hAnsi="Times New Roman" w:eastAsia="黑体" w:cs="Times New Roman"/>
          <w:b/>
          <w:bCs/>
          <w:sz w:val="21"/>
          <w:szCs w:val="21"/>
          <w:lang w:val="en-US" w:eastAsia="zh-CN"/>
        </w:rPr>
        <w:t>5</w:t>
      </w:r>
      <w:r>
        <w:rPr>
          <w:rFonts w:hint="default" w:ascii="Times New Roman" w:hAnsi="Times New Roman" w:eastAsia="黑体" w:cs="Times New Roman"/>
          <w:b/>
          <w:bCs/>
          <w:sz w:val="21"/>
          <w:szCs w:val="21"/>
        </w:rPr>
        <w:t xml:space="preserve"> 主要产品信息一览表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384"/>
        <w:gridCol w:w="1551"/>
        <w:gridCol w:w="1442"/>
        <w:gridCol w:w="1248"/>
        <w:gridCol w:w="1384"/>
        <w:gridCol w:w="136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序号</w:t>
            </w:r>
          </w:p>
        </w:tc>
        <w:tc>
          <w:tcPr>
            <w:tcW w:w="695" w:type="pct"/>
            <w:vAlign w:val="center"/>
          </w:tcPr>
          <w:p>
            <w:pPr>
              <w:pStyle w:val="5"/>
              <w:spacing w:line="324" w:lineRule="auto"/>
              <w:ind w:firstLine="51" w:firstLineChars="24"/>
              <w:jc w:val="center"/>
              <w:rPr>
                <w:rFonts w:eastAsia="仿宋" w:cs="Times New Roman"/>
                <w:b/>
                <w:sz w:val="21"/>
                <w:szCs w:val="21"/>
              </w:rPr>
            </w:pPr>
            <w:r>
              <w:rPr>
                <w:rFonts w:eastAsia="仿宋" w:cs="Times New Roman"/>
                <w:b/>
                <w:sz w:val="21"/>
                <w:szCs w:val="21"/>
              </w:rPr>
              <w:t>产品名称</w:t>
            </w:r>
          </w:p>
        </w:tc>
        <w:tc>
          <w:tcPr>
            <w:tcW w:w="779" w:type="pct"/>
            <w:vAlign w:val="center"/>
          </w:tcPr>
          <w:p>
            <w:pPr>
              <w:pStyle w:val="5"/>
              <w:spacing w:line="324" w:lineRule="auto"/>
              <w:ind w:firstLine="51" w:firstLineChars="24"/>
              <w:jc w:val="center"/>
              <w:rPr>
                <w:rFonts w:eastAsia="仿宋" w:cs="Times New Roman"/>
                <w:b/>
                <w:sz w:val="21"/>
                <w:szCs w:val="21"/>
              </w:rPr>
            </w:pPr>
            <w:r>
              <w:rPr>
                <w:rFonts w:eastAsia="仿宋" w:cs="Times New Roman"/>
                <w:b/>
                <w:sz w:val="21"/>
                <w:szCs w:val="21"/>
              </w:rPr>
              <w:t>规格</w:t>
            </w:r>
          </w:p>
        </w:tc>
        <w:tc>
          <w:tcPr>
            <w:tcW w:w="724" w:type="pct"/>
            <w:vAlign w:val="center"/>
          </w:tcPr>
          <w:p>
            <w:pPr>
              <w:jc w:val="center"/>
              <w:rPr>
                <w:rFonts w:eastAsia="仿宋" w:cs="Times New Roman"/>
                <w:b/>
                <w:sz w:val="21"/>
                <w:szCs w:val="21"/>
              </w:rPr>
            </w:pPr>
            <w:r>
              <w:rPr>
                <w:rFonts w:eastAsia="仿宋" w:cs="Times New Roman"/>
                <w:b/>
                <w:sz w:val="21"/>
                <w:szCs w:val="21"/>
              </w:rPr>
              <w:t>生产规模(t/a)</w:t>
            </w:r>
          </w:p>
        </w:tc>
        <w:tc>
          <w:tcPr>
            <w:tcW w:w="627" w:type="pct"/>
            <w:vAlign w:val="center"/>
          </w:tcPr>
          <w:p>
            <w:pPr>
              <w:jc w:val="center"/>
              <w:rPr>
                <w:rFonts w:eastAsia="仿宋" w:cs="Times New Roman"/>
                <w:b/>
                <w:sz w:val="21"/>
                <w:szCs w:val="21"/>
              </w:rPr>
            </w:pPr>
            <w:r>
              <w:rPr>
                <w:rFonts w:eastAsia="仿宋" w:cs="Times New Roman"/>
                <w:b/>
                <w:sz w:val="21"/>
                <w:szCs w:val="21"/>
              </w:rPr>
              <w:t>最大储存量(t)</w:t>
            </w:r>
          </w:p>
        </w:tc>
        <w:tc>
          <w:tcPr>
            <w:tcW w:w="695"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储存方式</w:t>
            </w:r>
          </w:p>
        </w:tc>
        <w:tc>
          <w:tcPr>
            <w:tcW w:w="683"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储存位置</w:t>
            </w:r>
          </w:p>
        </w:tc>
        <w:tc>
          <w:tcPr>
            <w:tcW w:w="35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一</w:t>
            </w:r>
          </w:p>
        </w:tc>
        <w:tc>
          <w:tcPr>
            <w:tcW w:w="4556" w:type="pct"/>
            <w:gridSpan w:val="7"/>
            <w:vAlign w:val="center"/>
          </w:tcPr>
          <w:p>
            <w:pPr>
              <w:pStyle w:val="5"/>
              <w:spacing w:line="324" w:lineRule="auto"/>
              <w:ind w:firstLine="0" w:firstLineChars="0"/>
              <w:jc w:val="center"/>
              <w:rPr>
                <w:rFonts w:eastAsia="仿宋" w:cs="Times New Roman"/>
                <w:b/>
                <w:sz w:val="21"/>
                <w:szCs w:val="21"/>
              </w:rPr>
            </w:pPr>
            <w:r>
              <w:rPr>
                <w:rFonts w:eastAsia="仿宋" w:cs="Times New Roman"/>
                <w:sz w:val="21"/>
                <w:szCs w:val="21"/>
              </w:rPr>
              <w:t>一期氯系列产品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jc w:val="center"/>
              <w:rPr>
                <w:rFonts w:eastAsia="仿宋" w:cs="Times New Roman"/>
                <w:sz w:val="21"/>
                <w:szCs w:val="21"/>
              </w:rPr>
            </w:pPr>
            <w:r>
              <w:rPr>
                <w:rFonts w:eastAsia="仿宋" w:cs="Times New Roman"/>
                <w:sz w:val="21"/>
                <w:szCs w:val="21"/>
              </w:rPr>
              <w:t>32％烧碱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32％</w:t>
            </w:r>
          </w:p>
        </w:tc>
        <w:tc>
          <w:tcPr>
            <w:tcW w:w="724" w:type="pct"/>
            <w:vAlign w:val="center"/>
          </w:tcPr>
          <w:p>
            <w:pPr>
              <w:jc w:val="center"/>
              <w:rPr>
                <w:rFonts w:eastAsia="仿宋" w:cs="Times New Roman"/>
                <w:sz w:val="21"/>
                <w:szCs w:val="21"/>
              </w:rPr>
            </w:pPr>
            <w:r>
              <w:rPr>
                <w:rFonts w:eastAsia="仿宋" w:cs="Times New Roman"/>
                <w:sz w:val="21"/>
                <w:szCs w:val="21"/>
              </w:rPr>
              <w:t>189031</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jc w:val="center"/>
              <w:rPr>
                <w:rFonts w:eastAsia="仿宋" w:cs="Times New Roman"/>
                <w:sz w:val="21"/>
                <w:szCs w:val="21"/>
              </w:rPr>
            </w:pPr>
            <w:r>
              <w:rPr>
                <w:rFonts w:eastAsia="仿宋" w:cs="Times New Roman"/>
                <w:sz w:val="21"/>
                <w:szCs w:val="21"/>
              </w:rPr>
              <w:t>液氯</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jc w:val="center"/>
              <w:rPr>
                <w:rFonts w:eastAsia="仿宋" w:cs="Times New Roman"/>
                <w:sz w:val="21"/>
                <w:szCs w:val="21"/>
              </w:rPr>
            </w:pPr>
            <w:r>
              <w:rPr>
                <w:rFonts w:eastAsia="仿宋" w:cs="Times New Roman"/>
                <w:sz w:val="21"/>
                <w:szCs w:val="21"/>
              </w:rPr>
              <w:t>49225</w:t>
            </w:r>
          </w:p>
        </w:tc>
        <w:tc>
          <w:tcPr>
            <w:tcW w:w="627" w:type="pct"/>
            <w:vAlign w:val="center"/>
          </w:tcPr>
          <w:p>
            <w:pPr>
              <w:jc w:val="center"/>
              <w:rPr>
                <w:rFonts w:eastAsia="仿宋" w:cs="Times New Roman"/>
                <w:sz w:val="21"/>
                <w:szCs w:val="21"/>
              </w:rPr>
            </w:pPr>
            <w:r>
              <w:rPr>
                <w:rFonts w:eastAsia="仿宋" w:cs="Times New Roman"/>
                <w:sz w:val="21"/>
                <w:szCs w:val="21"/>
              </w:rPr>
              <w:t>615.68</w:t>
            </w:r>
          </w:p>
        </w:tc>
        <w:tc>
          <w:tcPr>
            <w:tcW w:w="695" w:type="pct"/>
            <w:vAlign w:val="center"/>
          </w:tcPr>
          <w:p>
            <w:pPr>
              <w:jc w:val="center"/>
              <w:rPr>
                <w:rFonts w:eastAsia="仿宋" w:cs="Times New Roman"/>
                <w:sz w:val="21"/>
                <w:szCs w:val="21"/>
              </w:rPr>
            </w:pPr>
            <w:r>
              <w:rPr>
                <w:rFonts w:eastAsia="仿宋" w:cs="Times New Roman"/>
                <w:sz w:val="21"/>
                <w:szCs w:val="21"/>
              </w:rPr>
              <w:t>储罐、钢瓶</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液氯罐区、包装厂房</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3</w:t>
            </w:r>
          </w:p>
        </w:tc>
        <w:tc>
          <w:tcPr>
            <w:tcW w:w="695" w:type="pct"/>
            <w:vAlign w:val="center"/>
          </w:tcPr>
          <w:p>
            <w:pPr>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31％</w:t>
            </w:r>
          </w:p>
        </w:tc>
        <w:tc>
          <w:tcPr>
            <w:tcW w:w="724" w:type="pct"/>
            <w:vAlign w:val="center"/>
          </w:tcPr>
          <w:p>
            <w:pPr>
              <w:jc w:val="center"/>
              <w:rPr>
                <w:rFonts w:eastAsia="仿宋" w:cs="Times New Roman"/>
                <w:sz w:val="21"/>
                <w:szCs w:val="21"/>
              </w:rPr>
            </w:pPr>
            <w:r>
              <w:rPr>
                <w:rFonts w:eastAsia="仿宋" w:cs="Times New Roman"/>
                <w:sz w:val="21"/>
                <w:szCs w:val="21"/>
              </w:rPr>
              <w:t>17490</w:t>
            </w:r>
          </w:p>
        </w:tc>
        <w:tc>
          <w:tcPr>
            <w:tcW w:w="627" w:type="pct"/>
            <w:vAlign w:val="center"/>
          </w:tcPr>
          <w:p>
            <w:pPr>
              <w:jc w:val="center"/>
              <w:rPr>
                <w:rFonts w:eastAsia="仿宋" w:cs="Times New Roman"/>
                <w:sz w:val="21"/>
                <w:szCs w:val="21"/>
              </w:rPr>
            </w:pPr>
            <w:r>
              <w:rPr>
                <w:rFonts w:eastAsia="仿宋" w:cs="Times New Roman"/>
                <w:sz w:val="21"/>
                <w:szCs w:val="21"/>
              </w:rPr>
              <w:t>1600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4</w:t>
            </w:r>
          </w:p>
        </w:tc>
        <w:tc>
          <w:tcPr>
            <w:tcW w:w="695" w:type="pct"/>
            <w:vAlign w:val="center"/>
          </w:tcPr>
          <w:p>
            <w:pPr>
              <w:jc w:val="center"/>
              <w:rPr>
                <w:rFonts w:eastAsia="仿宋" w:cs="Times New Roman"/>
                <w:sz w:val="21"/>
                <w:szCs w:val="21"/>
              </w:rPr>
            </w:pPr>
            <w:r>
              <w:rPr>
                <w:rFonts w:eastAsia="仿宋" w:cs="Times New Roman"/>
                <w:sz w:val="21"/>
                <w:szCs w:val="21"/>
              </w:rPr>
              <w:t>次氯酸钠</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13％</w:t>
            </w:r>
          </w:p>
        </w:tc>
        <w:tc>
          <w:tcPr>
            <w:tcW w:w="724" w:type="pct"/>
            <w:vAlign w:val="center"/>
          </w:tcPr>
          <w:p>
            <w:pPr>
              <w:jc w:val="center"/>
              <w:rPr>
                <w:rFonts w:eastAsia="仿宋" w:cs="Times New Roman"/>
                <w:sz w:val="21"/>
                <w:szCs w:val="21"/>
              </w:rPr>
            </w:pPr>
            <w:r>
              <w:rPr>
                <w:rFonts w:eastAsia="仿宋" w:cs="Times New Roman"/>
                <w:sz w:val="21"/>
                <w:szCs w:val="21"/>
              </w:rPr>
              <w:t>50000</w:t>
            </w:r>
          </w:p>
        </w:tc>
        <w:tc>
          <w:tcPr>
            <w:tcW w:w="627" w:type="pct"/>
            <w:vAlign w:val="center"/>
          </w:tcPr>
          <w:p>
            <w:pPr>
              <w:jc w:val="center"/>
              <w:rPr>
                <w:rFonts w:eastAsia="仿宋" w:cs="Times New Roman"/>
                <w:sz w:val="21"/>
                <w:szCs w:val="21"/>
              </w:rPr>
            </w:pPr>
            <w:r>
              <w:rPr>
                <w:rFonts w:eastAsia="仿宋" w:cs="Times New Roman"/>
                <w:sz w:val="21"/>
                <w:szCs w:val="21"/>
              </w:rPr>
              <w:t>200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5</w:t>
            </w:r>
          </w:p>
        </w:tc>
        <w:tc>
          <w:tcPr>
            <w:tcW w:w="695" w:type="pct"/>
            <w:vAlign w:val="center"/>
          </w:tcPr>
          <w:p>
            <w:pPr>
              <w:jc w:val="center"/>
              <w:rPr>
                <w:rFonts w:eastAsia="仿宋" w:cs="Times New Roman"/>
                <w:sz w:val="21"/>
                <w:szCs w:val="21"/>
              </w:rPr>
            </w:pPr>
            <w:r>
              <w:rPr>
                <w:rFonts w:eastAsia="仿宋" w:cs="Times New Roman"/>
                <w:sz w:val="21"/>
                <w:szCs w:val="21"/>
              </w:rPr>
              <w:t>高纯盐酸</w:t>
            </w:r>
          </w:p>
        </w:tc>
        <w:tc>
          <w:tcPr>
            <w:tcW w:w="779" w:type="pct"/>
            <w:vAlign w:val="center"/>
          </w:tcPr>
          <w:p>
            <w:pPr>
              <w:jc w:val="center"/>
              <w:rPr>
                <w:rFonts w:eastAsia="仿宋" w:cs="Times New Roman"/>
                <w:sz w:val="21"/>
                <w:szCs w:val="21"/>
              </w:rPr>
            </w:pPr>
            <w:r>
              <w:rPr>
                <w:rFonts w:eastAsia="仿宋" w:cs="Times New Roman"/>
                <w:sz w:val="21"/>
                <w:szCs w:val="21"/>
              </w:rPr>
              <w:t>HCl ≥31%（Wt）</w:t>
            </w:r>
          </w:p>
        </w:tc>
        <w:tc>
          <w:tcPr>
            <w:tcW w:w="724" w:type="pct"/>
            <w:vAlign w:val="center"/>
          </w:tcPr>
          <w:p>
            <w:pPr>
              <w:jc w:val="center"/>
              <w:rPr>
                <w:rFonts w:eastAsia="仿宋" w:cs="Times New Roman"/>
                <w:sz w:val="21"/>
                <w:szCs w:val="21"/>
              </w:rPr>
            </w:pPr>
            <w:r>
              <w:rPr>
                <w:rFonts w:eastAsia="仿宋" w:cs="Times New Roman"/>
                <w:sz w:val="21"/>
                <w:szCs w:val="21"/>
              </w:rPr>
              <w:t>60000</w:t>
            </w:r>
          </w:p>
        </w:tc>
        <w:tc>
          <w:tcPr>
            <w:tcW w:w="627" w:type="pct"/>
            <w:vAlign w:val="center"/>
          </w:tcPr>
          <w:p>
            <w:pPr>
              <w:jc w:val="center"/>
              <w:rPr>
                <w:rFonts w:eastAsia="仿宋" w:cs="Times New Roman"/>
                <w:sz w:val="21"/>
                <w:szCs w:val="21"/>
              </w:rPr>
            </w:pPr>
            <w:r>
              <w:rPr>
                <w:rFonts w:eastAsia="仿宋" w:cs="Times New Roman"/>
                <w:sz w:val="21"/>
                <w:szCs w:val="21"/>
              </w:rPr>
              <w:t>1600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6</w:t>
            </w:r>
          </w:p>
        </w:tc>
        <w:tc>
          <w:tcPr>
            <w:tcW w:w="695" w:type="pct"/>
            <w:vAlign w:val="center"/>
          </w:tcPr>
          <w:p>
            <w:pPr>
              <w:jc w:val="center"/>
              <w:rPr>
                <w:rFonts w:eastAsia="仿宋" w:cs="Times New Roman"/>
                <w:sz w:val="21"/>
                <w:szCs w:val="21"/>
              </w:rPr>
            </w:pPr>
            <w:r>
              <w:rPr>
                <w:rFonts w:eastAsia="仿宋" w:cs="Times New Roman"/>
                <w:sz w:val="21"/>
                <w:szCs w:val="21"/>
              </w:rPr>
              <w:t>48%液碱</w:t>
            </w:r>
          </w:p>
        </w:tc>
        <w:tc>
          <w:tcPr>
            <w:tcW w:w="779" w:type="pct"/>
            <w:vAlign w:val="center"/>
          </w:tcPr>
          <w:p>
            <w:pPr>
              <w:jc w:val="center"/>
              <w:rPr>
                <w:rFonts w:eastAsia="仿宋" w:cs="Times New Roman"/>
                <w:sz w:val="21"/>
                <w:szCs w:val="21"/>
              </w:rPr>
            </w:pPr>
            <w:r>
              <w:rPr>
                <w:rFonts w:eastAsia="仿宋" w:cs="Times New Roman"/>
                <w:sz w:val="21"/>
                <w:szCs w:val="21"/>
              </w:rPr>
              <w:t>48%</w:t>
            </w:r>
          </w:p>
        </w:tc>
        <w:tc>
          <w:tcPr>
            <w:tcW w:w="724" w:type="pct"/>
            <w:vAlign w:val="center"/>
          </w:tcPr>
          <w:p>
            <w:pPr>
              <w:jc w:val="center"/>
              <w:rPr>
                <w:rFonts w:eastAsia="仿宋" w:cs="Times New Roman"/>
                <w:sz w:val="21"/>
                <w:szCs w:val="21"/>
              </w:rPr>
            </w:pPr>
            <w:r>
              <w:rPr>
                <w:rFonts w:eastAsia="仿宋" w:cs="Times New Roman"/>
                <w:sz w:val="21"/>
                <w:szCs w:val="21"/>
              </w:rPr>
              <w:t>41667</w:t>
            </w:r>
          </w:p>
        </w:tc>
        <w:tc>
          <w:tcPr>
            <w:tcW w:w="627" w:type="pct"/>
            <w:vAlign w:val="center"/>
          </w:tcPr>
          <w:p>
            <w:pPr>
              <w:jc w:val="center"/>
              <w:rPr>
                <w:rFonts w:eastAsia="仿宋" w:cs="Times New Roman"/>
                <w:sz w:val="21"/>
                <w:szCs w:val="21"/>
              </w:rPr>
            </w:pPr>
            <w:r>
              <w:rPr>
                <w:rFonts w:eastAsia="仿宋" w:cs="Times New Roman"/>
                <w:sz w:val="21"/>
                <w:szCs w:val="21"/>
              </w:rPr>
              <w:t>30000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二</w:t>
            </w:r>
          </w:p>
        </w:tc>
        <w:tc>
          <w:tcPr>
            <w:tcW w:w="4556" w:type="pct"/>
            <w:gridSpan w:val="7"/>
            <w:vAlign w:val="center"/>
          </w:tcPr>
          <w:p>
            <w:pPr>
              <w:pStyle w:val="5"/>
              <w:spacing w:line="324" w:lineRule="auto"/>
              <w:ind w:firstLine="0" w:firstLineChars="0"/>
              <w:jc w:val="center"/>
              <w:rPr>
                <w:rFonts w:eastAsia="仿宋" w:cs="Times New Roman"/>
                <w:b/>
                <w:sz w:val="21"/>
                <w:szCs w:val="21"/>
              </w:rPr>
            </w:pPr>
            <w:r>
              <w:rPr>
                <w:rFonts w:eastAsia="仿宋" w:cs="Times New Roman"/>
                <w:sz w:val="21"/>
                <w:szCs w:val="21"/>
              </w:rPr>
              <w:t>二期氯系列产品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32％</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93750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48％</w:t>
            </w:r>
          </w:p>
        </w:tc>
        <w:tc>
          <w:tcPr>
            <w:tcW w:w="724" w:type="pct"/>
            <w:vAlign w:val="center"/>
          </w:tcPr>
          <w:p>
            <w:pPr>
              <w:jc w:val="center"/>
              <w:rPr>
                <w:rFonts w:eastAsia="仿宋" w:cs="Times New Roman"/>
                <w:sz w:val="21"/>
                <w:szCs w:val="21"/>
              </w:rPr>
            </w:pPr>
            <w:r>
              <w:rPr>
                <w:rFonts w:eastAsia="仿宋" w:cs="Times New Roman"/>
                <w:sz w:val="21"/>
                <w:szCs w:val="21"/>
              </w:rPr>
              <w:t>250000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3</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114271.29</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615.68</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储罐、钢瓶</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液氯罐区、包装厂房</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4</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次氯酸钠</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13%</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5</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31%</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432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6</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氢</w:t>
            </w:r>
          </w:p>
        </w:tc>
        <w:tc>
          <w:tcPr>
            <w:tcW w:w="779" w:type="pct"/>
            <w:vAlign w:val="center"/>
          </w:tcPr>
          <w:p>
            <w:pPr>
              <w:adjustRightInd w:val="0"/>
              <w:snapToGrid w:val="0"/>
              <w:spacing w:line="320" w:lineRule="exact"/>
              <w:jc w:val="center"/>
              <w:rPr>
                <w:rFonts w:eastAsia="仿宋" w:cs="Times New Roman"/>
                <w:sz w:val="21"/>
                <w:szCs w:val="21"/>
              </w:rPr>
            </w:pP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3355</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管道</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管道</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三</w:t>
            </w:r>
          </w:p>
        </w:tc>
        <w:tc>
          <w:tcPr>
            <w:tcW w:w="4556" w:type="pct"/>
            <w:gridSpan w:val="7"/>
            <w:vAlign w:val="center"/>
          </w:tcPr>
          <w:p>
            <w:pPr>
              <w:pStyle w:val="5"/>
              <w:spacing w:line="324" w:lineRule="auto"/>
              <w:ind w:firstLine="0" w:firstLineChars="0"/>
              <w:jc w:val="center"/>
              <w:rPr>
                <w:rFonts w:eastAsia="仿宋" w:cs="Times New Roman"/>
                <w:b/>
                <w:sz w:val="21"/>
                <w:szCs w:val="21"/>
              </w:rPr>
            </w:pPr>
            <w:r>
              <w:rPr>
                <w:rFonts w:eastAsia="仿宋" w:cs="Times New Roman"/>
                <w:sz w:val="21"/>
                <w:szCs w:val="21"/>
              </w:rPr>
              <w:t>一期硫酸项目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98.5％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1015228.4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四</w:t>
            </w:r>
          </w:p>
        </w:tc>
        <w:tc>
          <w:tcPr>
            <w:tcW w:w="4556" w:type="pct"/>
            <w:gridSpan w:val="7"/>
            <w:vAlign w:val="center"/>
          </w:tcPr>
          <w:p>
            <w:pPr>
              <w:pStyle w:val="5"/>
              <w:spacing w:line="324" w:lineRule="auto"/>
              <w:ind w:firstLine="0" w:firstLineChars="0"/>
              <w:jc w:val="center"/>
              <w:rPr>
                <w:rFonts w:eastAsia="仿宋" w:cs="Times New Roman"/>
                <w:b/>
                <w:sz w:val="21"/>
                <w:szCs w:val="21"/>
              </w:rPr>
            </w:pPr>
            <w:r>
              <w:rPr>
                <w:rFonts w:eastAsia="仿宋" w:cs="Times New Roman"/>
                <w:sz w:val="21"/>
                <w:szCs w:val="21"/>
              </w:rPr>
              <w:t>二期硫酸项目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98.5％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1015228.4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104.5％</w:t>
            </w:r>
          </w:p>
        </w:tc>
        <w:tc>
          <w:tcPr>
            <w:tcW w:w="724"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300000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五</w:t>
            </w:r>
          </w:p>
        </w:tc>
        <w:tc>
          <w:tcPr>
            <w:tcW w:w="4556" w:type="pct"/>
            <w:gridSpan w:val="7"/>
            <w:vAlign w:val="center"/>
          </w:tcPr>
          <w:p>
            <w:pPr>
              <w:pStyle w:val="5"/>
              <w:spacing w:line="324" w:lineRule="auto"/>
              <w:ind w:firstLine="0" w:firstLineChars="0"/>
              <w:jc w:val="center"/>
              <w:rPr>
                <w:rFonts w:eastAsia="仿宋" w:cs="Times New Roman"/>
                <w:b/>
                <w:sz w:val="21"/>
                <w:szCs w:val="21"/>
              </w:rPr>
            </w:pPr>
            <w:r>
              <w:rPr>
                <w:rFonts w:eastAsia="仿宋" w:cs="Times New Roman"/>
                <w:sz w:val="21"/>
                <w:szCs w:val="21"/>
              </w:rPr>
              <w:t>氯磺酸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氯磺酸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98％</w:t>
            </w:r>
          </w:p>
        </w:tc>
        <w:tc>
          <w:tcPr>
            <w:tcW w:w="724" w:type="pct"/>
            <w:vAlign w:val="center"/>
          </w:tcPr>
          <w:p>
            <w:pPr>
              <w:jc w:val="center"/>
              <w:rPr>
                <w:rFonts w:eastAsia="仿宋" w:cs="Times New Roman"/>
                <w:sz w:val="21"/>
                <w:szCs w:val="21"/>
              </w:rPr>
            </w:pPr>
            <w:r>
              <w:rPr>
                <w:rFonts w:eastAsia="仿宋" w:cs="Times New Roman"/>
                <w:sz w:val="21"/>
                <w:szCs w:val="21"/>
              </w:rPr>
              <w:t>2607.14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5"/>
              <w:spacing w:line="324" w:lineRule="auto"/>
              <w:ind w:firstLine="0" w:firstLineChars="0"/>
              <w:jc w:val="center"/>
              <w:rPr>
                <w:rFonts w:eastAsia="仿宋" w:cs="Times New Roman"/>
                <w:b/>
                <w:sz w:val="21"/>
                <w:szCs w:val="21"/>
              </w:rPr>
            </w:pPr>
            <w:r>
              <w:rPr>
                <w:rFonts w:eastAsia="仿宋" w:cs="Times New Roman"/>
                <w:b/>
                <w:sz w:val="21"/>
                <w:szCs w:val="21"/>
              </w:rPr>
              <w:t>3</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450.6</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432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5"/>
              <w:spacing w:line="324" w:lineRule="auto"/>
              <w:ind w:firstLine="0" w:firstLineChars="0"/>
              <w:jc w:val="center"/>
              <w:rPr>
                <w:rFonts w:eastAsia="仿宋" w:cs="Times New Roman"/>
                <w:b/>
                <w:sz w:val="21"/>
                <w:szCs w:val="21"/>
              </w:rPr>
            </w:pPr>
          </w:p>
        </w:tc>
      </w:tr>
    </w:tbl>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80" w:name="_Toc29022"/>
      <w:r>
        <w:rPr>
          <w:rFonts w:hint="eastAsia" w:ascii="Times New Roman" w:hAnsi="Times New Roman" w:eastAsia="仿宋_GB2312" w:cs="Times New Roman"/>
          <w:color w:val="auto"/>
          <w:kern w:val="2"/>
          <w:sz w:val="24"/>
          <w:szCs w:val="24"/>
          <w:lang w:val="en-US" w:eastAsia="zh-CN" w:bidi="ar-SA"/>
        </w:rPr>
        <w:t>2.5.3原、辅料及其组分</w:t>
      </w:r>
      <w:bookmarkEnd w:id="79"/>
      <w:bookmarkEnd w:id="8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ascii="Times New Roman" w:hAnsi="Times New Roman" w:eastAsia="仿宋_GB2312"/>
          <w:color w:val="auto"/>
          <w:kern w:val="2"/>
          <w:szCs w:val="24"/>
        </w:rPr>
        <w:t>双狮（张家港）精细化工有限公司对厂内所使用的化工原材料的储存及使用制定了管理规定，主要原辅材料信息</w:t>
      </w:r>
      <w:r>
        <w:rPr>
          <w:rFonts w:hint="eastAsia" w:ascii="Times New Roman" w:hAnsi="Times New Roman" w:eastAsia="仿宋_GB2312"/>
          <w:color w:val="auto"/>
          <w:kern w:val="2"/>
          <w:szCs w:val="24"/>
          <w:lang w:eastAsia="zh-CN"/>
        </w:rPr>
        <w:t>见</w:t>
      </w:r>
      <w:r>
        <w:rPr>
          <w:rFonts w:hint="eastAsia" w:ascii="Times New Roman" w:hAnsi="Times New Roman" w:eastAsia="仿宋_GB2312" w:cs="Times New Roman"/>
          <w:color w:val="auto"/>
          <w:kern w:val="2"/>
          <w:sz w:val="24"/>
          <w:szCs w:val="24"/>
          <w:lang w:val="zh-CN" w:eastAsia="zh-CN" w:bidi="ar-SA"/>
        </w:rPr>
        <w:t>表 2-</w:t>
      </w:r>
      <w:r>
        <w:rPr>
          <w:rFonts w:hint="eastAsia" w:eastAsia="仿宋_GB2312" w:cs="Times New Roman"/>
          <w:color w:val="auto"/>
          <w:kern w:val="2"/>
          <w:sz w:val="24"/>
          <w:szCs w:val="24"/>
          <w:lang w:val="en-US" w:eastAsia="zh-CN" w:bidi="ar-SA"/>
        </w:rPr>
        <w:t>6</w:t>
      </w:r>
      <w:r>
        <w:rPr>
          <w:rFonts w:hint="eastAsia" w:ascii="Times New Roman" w:hAnsi="Times New Roman" w:eastAsia="仿宋_GB2312" w:cs="Times New Roman"/>
          <w:color w:val="auto"/>
          <w:kern w:val="2"/>
          <w:sz w:val="24"/>
          <w:szCs w:val="24"/>
          <w:lang w:val="zh-CN" w:eastAsia="zh-CN" w:bidi="ar-SA"/>
        </w:rPr>
        <w:t>。</w:t>
      </w:r>
    </w:p>
    <w:p>
      <w:pPr>
        <w:keepNext w:val="0"/>
        <w:keepLines w:val="0"/>
        <w:pageBreakBefore w:val="0"/>
        <w:widowControl w:val="0"/>
        <w:tabs>
          <w:tab w:val="left" w:pos="859"/>
        </w:tabs>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仿宋" w:cs="宋体"/>
          <w:b/>
          <w:bCs/>
          <w:color w:val="auto"/>
          <w:kern w:val="2"/>
          <w:sz w:val="21"/>
          <w:szCs w:val="21"/>
          <w:lang w:val="en-US" w:bidi="ar-SA"/>
        </w:rPr>
      </w:pPr>
      <w:bookmarkStart w:id="81" w:name="表2-5  浦项不锈钢主要原辅材料消耗表"/>
      <w:bookmarkEnd w:id="81"/>
    </w:p>
    <w:p>
      <w:pPr>
        <w:keepNext w:val="0"/>
        <w:keepLines w:val="0"/>
        <w:pageBreakBefore w:val="0"/>
        <w:widowControl w:val="0"/>
        <w:tabs>
          <w:tab w:val="left" w:pos="859"/>
        </w:tabs>
        <w:kinsoku/>
        <w:wordWrap/>
        <w:overflowPunct/>
        <w:topLinePunct w:val="0"/>
        <w:autoSpaceDE/>
        <w:autoSpaceDN/>
        <w:bidi w:val="0"/>
        <w:adjustRightInd/>
        <w:snapToGrid/>
        <w:spacing w:line="360" w:lineRule="auto"/>
        <w:ind w:left="0" w:right="0" w:firstLine="422" w:firstLineChars="200"/>
        <w:jc w:val="center"/>
        <w:textAlignment w:val="auto"/>
        <w:rPr>
          <w:rFonts w:hint="eastAsia" w:ascii="Times New Roman" w:hAnsi="Times New Roman" w:eastAsia="仿宋" w:cs="宋体"/>
          <w:b/>
          <w:bCs/>
          <w:color w:val="auto"/>
          <w:kern w:val="2"/>
          <w:sz w:val="21"/>
          <w:szCs w:val="21"/>
          <w:lang w:val="en-US" w:eastAsia="zh-CN" w:bidi="ar-SA"/>
        </w:rPr>
        <w:sectPr>
          <w:headerReference r:id="rId12" w:type="first"/>
          <w:footerReference r:id="rId14" w:type="first"/>
          <w:headerReference r:id="rId11" w:type="default"/>
          <w:footerReference r:id="rId13" w:type="default"/>
          <w:pgSz w:w="11906" w:h="16838"/>
          <w:pgMar w:top="1440" w:right="1083" w:bottom="1440" w:left="1083" w:header="851" w:footer="851" w:gutter="0"/>
          <w:pgBorders>
            <w:top w:val="none" w:sz="0" w:space="0"/>
            <w:left w:val="none" w:sz="0" w:space="0"/>
            <w:bottom w:val="none" w:sz="0" w:space="0"/>
            <w:right w:val="none" w:sz="0" w:space="0"/>
          </w:pgBorders>
          <w:pgNumType w:fmt="decimal"/>
          <w:cols w:space="425" w:num="1"/>
          <w:titlePg/>
          <w:docGrid w:type="lines" w:linePitch="326" w:charSpace="0"/>
        </w:sectPr>
      </w:pPr>
    </w:p>
    <w:p>
      <w:pPr>
        <w:keepNext w:val="0"/>
        <w:keepLines w:val="0"/>
        <w:pageBreakBefore w:val="0"/>
        <w:widowControl w:val="0"/>
        <w:tabs>
          <w:tab w:val="left" w:pos="859"/>
        </w:tabs>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表 2-</w:t>
      </w:r>
      <w:r>
        <w:rPr>
          <w:rFonts w:hint="eastAsia" w:eastAsia="黑体" w:cs="Times New Roman"/>
          <w:b/>
          <w:bCs/>
          <w:color w:val="auto"/>
          <w:kern w:val="2"/>
          <w:sz w:val="21"/>
          <w:szCs w:val="21"/>
          <w:lang w:val="en-US" w:eastAsia="zh-CN" w:bidi="ar-SA"/>
        </w:rPr>
        <w:t>6</w:t>
      </w:r>
      <w:r>
        <w:rPr>
          <w:rFonts w:hint="eastAsia" w:ascii="Times New Roman" w:hAnsi="Times New Roman" w:eastAsia="黑体" w:cs="Times New Roman"/>
          <w:b/>
          <w:bCs/>
          <w:color w:val="auto"/>
          <w:kern w:val="2"/>
          <w:sz w:val="21"/>
          <w:szCs w:val="21"/>
          <w:lang w:val="en-US" w:eastAsia="zh-CN" w:bidi="ar-SA"/>
        </w:rPr>
        <w:t xml:space="preserve">  主要原辅材料消耗表</w:t>
      </w:r>
    </w:p>
    <w:tbl>
      <w:tblPr>
        <w:tblStyle w:val="218"/>
        <w:tblW w:w="5000" w:type="pct"/>
        <w:tblInd w:w="0" w:type="dxa"/>
        <w:tblLayout w:type="autofit"/>
        <w:tblCellMar>
          <w:top w:w="0" w:type="dxa"/>
          <w:left w:w="0" w:type="dxa"/>
          <w:bottom w:w="0" w:type="dxa"/>
          <w:right w:w="0" w:type="dxa"/>
        </w:tblCellMar>
      </w:tblPr>
      <w:tblGrid>
        <w:gridCol w:w="905"/>
        <w:gridCol w:w="799"/>
        <w:gridCol w:w="1821"/>
        <w:gridCol w:w="609"/>
        <w:gridCol w:w="919"/>
        <w:gridCol w:w="1226"/>
        <w:gridCol w:w="1036"/>
        <w:gridCol w:w="1101"/>
        <w:gridCol w:w="1564"/>
        <w:gridCol w:w="958"/>
        <w:gridCol w:w="986"/>
        <w:gridCol w:w="1023"/>
        <w:gridCol w:w="1021"/>
      </w:tblGrid>
      <w:tr>
        <w:tblPrEx>
          <w:tblCellMar>
            <w:top w:w="0" w:type="dxa"/>
            <w:left w:w="0" w:type="dxa"/>
            <w:bottom w:w="0" w:type="dxa"/>
            <w:right w:w="0" w:type="dxa"/>
          </w:tblCellMar>
        </w:tblPrEx>
        <w:trPr>
          <w:trHeight w:val="760" w:hRule="atLeast"/>
        </w:trPr>
        <w:tc>
          <w:tcPr>
            <w:tcW w:w="32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项目</w:t>
            </w:r>
          </w:p>
        </w:tc>
        <w:tc>
          <w:tcPr>
            <w:tcW w:w="28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类别</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化学品名称</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物态</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规格</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单耗（kg/t）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spacing w:val="-7"/>
                <w:kern w:val="0"/>
                <w:sz w:val="21"/>
                <w:szCs w:val="21"/>
                <w:lang w:eastAsia="en-US"/>
              </w:rPr>
              <w:t>年耗量（t）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spacing w:val="-13"/>
                <w:kern w:val="0"/>
                <w:sz w:val="21"/>
                <w:szCs w:val="21"/>
                <w:lang w:eastAsia="en-US"/>
              </w:rPr>
              <w:t>日耗量（t/d</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spacing w:val="-8"/>
                <w:kern w:val="0"/>
                <w:sz w:val="21"/>
                <w:szCs w:val="21"/>
                <w:lang w:eastAsia="en-US"/>
              </w:rPr>
              <w:t>）最大储存量（t）</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运输方式</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贮存方式</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贮存地点</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容器规格</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硫酸</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≥99.5%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0.38</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762000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rPr>
          <w:trHeight w:val="624" w:hRule="atLeast"/>
        </w:trPr>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催化剂</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钒触媒</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180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只在开车</w:t>
            </w:r>
          </w:p>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时使用</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中间品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二氧化硫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0.145(在线量)</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三氧化硫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2.23(在线量)</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98.5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6666</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80000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6000m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发烟硫酸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104.5%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3060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氯磺酸</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HCl</w:t>
            </w:r>
            <w:r>
              <w:rPr>
                <w:rFonts w:ascii="Calibri" w:hAnsi="Calibri" w:eastAsia="仿宋" w:cs="Times New Roman"/>
                <w:spacing w:val="1"/>
                <w:kern w:val="0"/>
                <w:sz w:val="21"/>
                <w:szCs w:val="21"/>
                <w:lang w:eastAsia="en-US"/>
              </w:rPr>
              <w:t xml:space="preserve"> </w:t>
            </w:r>
            <w:r>
              <w:rPr>
                <w:rFonts w:ascii="Calibri" w:hAnsi="Calibri" w:eastAsia="仿宋" w:cs="Times New Roman"/>
                <w:kern w:val="0"/>
                <w:sz w:val="21"/>
                <w:szCs w:val="21"/>
                <w:lang w:eastAsia="en-US"/>
              </w:rPr>
              <w:t>混合气体</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0.33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16346.116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49</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SO</w:t>
            </w:r>
            <w:r>
              <w:rPr>
                <w:rFonts w:ascii="Calibri" w:hAnsi="Calibri" w:eastAsia="仿宋" w:cs="Times New Roman"/>
                <w:kern w:val="0"/>
                <w:sz w:val="21"/>
                <w:szCs w:val="21"/>
                <w:vertAlign w:val="subscript"/>
                <w:lang w:eastAsia="en-US"/>
              </w:rPr>
              <w:t>3</w:t>
            </w:r>
            <w:r>
              <w:rPr>
                <w:rFonts w:ascii="Calibri" w:hAnsi="Calibri" w:eastAsia="仿宋" w:cs="Times New Roman"/>
                <w:spacing w:val="2"/>
                <w:kern w:val="0"/>
                <w:sz w:val="21"/>
                <w:szCs w:val="21"/>
                <w:lang w:eastAsia="en-US"/>
              </w:rPr>
              <w:t xml:space="preserve"> </w:t>
            </w:r>
            <w:r>
              <w:rPr>
                <w:rFonts w:ascii="Calibri" w:hAnsi="Calibri" w:eastAsia="仿宋" w:cs="Times New Roman"/>
                <w:kern w:val="0"/>
                <w:sz w:val="21"/>
                <w:szCs w:val="21"/>
                <w:lang w:eastAsia="en-US"/>
              </w:rPr>
              <w:t>混合气体</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0.73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36610.232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氢氧化钠溶液</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0.034</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1708.9</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5.1</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氯磺酸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纯品</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150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38m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0.052</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2607.14</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7.8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0.009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450.6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1.35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94m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亚硫酸钠</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0.039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1932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氯系列</w:t>
            </w:r>
            <w:r>
              <w:rPr>
                <w:rFonts w:ascii="Calibri" w:hAnsi="Calibri" w:eastAsia="仿宋" w:cs="Times New Roman"/>
                <w:spacing w:val="-102"/>
                <w:kern w:val="0"/>
                <w:sz w:val="21"/>
                <w:szCs w:val="21"/>
                <w:lang w:eastAsia="en-US"/>
              </w:rPr>
              <w:t xml:space="preserve"> </w:t>
            </w:r>
            <w:r>
              <w:rPr>
                <w:rFonts w:ascii="Calibri" w:hAnsi="Calibri" w:eastAsia="仿宋" w:cs="Times New Roman"/>
                <w:kern w:val="0"/>
                <w:sz w:val="21"/>
                <w:szCs w:val="21"/>
                <w:lang w:eastAsia="en-US"/>
              </w:rPr>
              <w:t>产品</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工业盐(折</w:t>
            </w:r>
            <w:r>
              <w:rPr>
                <w:rFonts w:ascii="Calibri" w:hAnsi="Calibri" w:eastAsia="仿宋" w:cs="Times New Roman"/>
                <w:spacing w:val="-53"/>
                <w:kern w:val="0"/>
                <w:sz w:val="21"/>
                <w:szCs w:val="21"/>
                <w:lang w:eastAsia="en-US"/>
              </w:rPr>
              <w:t xml:space="preserve"> </w:t>
            </w:r>
            <w:r>
              <w:rPr>
                <w:rFonts w:ascii="Calibri" w:hAnsi="Calibri"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0.679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348000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1045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85000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船运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散装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盐堆场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纯碱(折</w:t>
            </w:r>
            <w:r>
              <w:rPr>
                <w:rFonts w:ascii="Calibri" w:hAnsi="Calibri" w:eastAsia="仿宋" w:cs="Times New Roman"/>
                <w:spacing w:val="-52"/>
                <w:kern w:val="0"/>
                <w:sz w:val="21"/>
                <w:szCs w:val="21"/>
                <w:lang w:eastAsia="en-US"/>
              </w:rPr>
              <w:t xml:space="preserve"> </w:t>
            </w:r>
            <w:r>
              <w:rPr>
                <w:rFonts w:ascii="Calibri" w:hAnsi="Calibri"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96％</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0.0058</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2995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袋装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50Kg/袋</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亚硫酸钠(折</w:t>
            </w:r>
            <w:r>
              <w:rPr>
                <w:rFonts w:ascii="Calibri" w:hAnsi="Calibri" w:eastAsia="仿宋" w:cs="Times New Roman"/>
                <w:spacing w:val="-54"/>
                <w:kern w:val="0"/>
                <w:sz w:val="21"/>
                <w:szCs w:val="21"/>
                <w:lang w:eastAsia="en-US"/>
              </w:rPr>
              <w:t xml:space="preserve"> </w:t>
            </w:r>
            <w:r>
              <w:rPr>
                <w:rFonts w:ascii="Calibri" w:hAnsi="Calibri"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96％</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0.0011</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580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1.7</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高纯盐酸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31%</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0.043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22166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66.5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3360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0.122</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62475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袋装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浓硫酸(折</w:t>
            </w:r>
            <w:r>
              <w:rPr>
                <w:rFonts w:ascii="Calibri" w:hAnsi="Calibri" w:eastAsia="仿宋" w:cs="Times New Roman"/>
                <w:spacing w:val="-53"/>
                <w:kern w:val="0"/>
                <w:sz w:val="21"/>
                <w:szCs w:val="21"/>
                <w:lang w:eastAsia="en-US"/>
              </w:rPr>
              <w:t xml:space="preserve"> </w:t>
            </w:r>
            <w:r>
              <w:rPr>
                <w:rFonts w:ascii="Calibri" w:hAnsi="Calibri"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0.0081</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4172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12.5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供气</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氮气</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144000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432</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120000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360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36000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6000m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90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液氯</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163525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491</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spacing w:val="-17"/>
                <w:kern w:val="0"/>
                <w:sz w:val="21"/>
                <w:szCs w:val="21"/>
                <w:lang w:eastAsia="en-US"/>
              </w:rPr>
              <w:t>储罐、钢瓶</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液氯罐区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80m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次氯酸钠</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13%</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85800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258</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31%</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330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800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500m</w:t>
            </w:r>
            <w:r>
              <w:rPr>
                <w:rFonts w:ascii="Calibri" w:hAnsi="Calibri"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氢</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3355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bl>
    <w:p>
      <w:pPr>
        <w:pStyle w:val="97"/>
        <w:adjustRightInd/>
        <w:spacing w:before="163" w:beforeLines="50"/>
        <w:jc w:val="center"/>
        <w:rPr>
          <w:rFonts w:hint="eastAsia" w:ascii="Times New Roman" w:hAnsi="Times New Roman" w:eastAsia="仿宋" w:cs="宋体"/>
          <w:b/>
          <w:bCs/>
          <w:color w:val="auto"/>
          <w:kern w:val="2"/>
          <w:sz w:val="21"/>
          <w:szCs w:val="21"/>
          <w:lang w:val="en-US" w:eastAsia="zh-CN" w:bidi="ar-SA"/>
        </w:rPr>
        <w:sectPr>
          <w:pgSz w:w="16838" w:h="11906" w:orient="landscape"/>
          <w:pgMar w:top="1083" w:right="1440" w:bottom="1083" w:left="1440" w:header="851" w:footer="851" w:gutter="0"/>
          <w:pgBorders>
            <w:top w:val="none" w:sz="0" w:space="0"/>
            <w:left w:val="none" w:sz="0" w:space="0"/>
            <w:bottom w:val="none" w:sz="0" w:space="0"/>
            <w:right w:val="none" w:sz="0" w:space="0"/>
          </w:pgBorders>
          <w:pgNumType w:fmt="decimal"/>
          <w:cols w:space="425" w:num="1"/>
          <w:titlePg/>
          <w:docGrid w:type="lines" w:linePitch="326" w:charSpace="0"/>
        </w:sectPr>
      </w:pPr>
    </w:p>
    <w:p>
      <w:pPr>
        <w:keepNext w:val="0"/>
        <w:keepLines w:val="0"/>
        <w:pageBreakBefore w:val="0"/>
        <w:widowControl w:val="0"/>
        <w:tabs>
          <w:tab w:val="left" w:pos="859"/>
        </w:tabs>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黑体" w:cs="Times New Roman"/>
          <w:b/>
          <w:bCs/>
          <w:color w:val="auto"/>
          <w:kern w:val="2"/>
          <w:sz w:val="21"/>
          <w:szCs w:val="21"/>
          <w:lang w:val="en-US" w:eastAsia="zh-CN" w:bidi="ar-SA"/>
        </w:rPr>
      </w:pPr>
      <w:r>
        <w:rPr>
          <w:rFonts w:hint="default" w:ascii="Times New Roman" w:hAnsi="Times New Roman" w:eastAsia="黑体" w:cs="Times New Roman"/>
          <w:b/>
          <w:bCs/>
          <w:color w:val="auto"/>
          <w:kern w:val="2"/>
          <w:sz w:val="21"/>
          <w:szCs w:val="21"/>
          <w:lang w:val="en-US" w:eastAsia="zh-CN" w:bidi="ar-SA"/>
        </w:rPr>
        <w:t>表2-7 主要原辅材料</w:t>
      </w:r>
      <w:r>
        <w:rPr>
          <w:rFonts w:hint="eastAsia" w:ascii="Times New Roman" w:hAnsi="Times New Roman" w:eastAsia="黑体" w:cs="Times New Roman"/>
          <w:b/>
          <w:bCs/>
          <w:color w:val="auto"/>
          <w:kern w:val="2"/>
          <w:sz w:val="21"/>
          <w:szCs w:val="21"/>
          <w:lang w:val="en-US" w:eastAsia="zh-CN" w:bidi="ar-SA"/>
        </w:rPr>
        <w:t>的理化性质</w:t>
      </w:r>
    </w:p>
    <w:tbl>
      <w:tblPr>
        <w:tblStyle w:val="208"/>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Layout w:type="autofit"/>
        <w:tblCellMar>
          <w:top w:w="0" w:type="dxa"/>
          <w:left w:w="0" w:type="dxa"/>
          <w:bottom w:w="0" w:type="dxa"/>
          <w:right w:w="0" w:type="dxa"/>
        </w:tblCellMar>
      </w:tblPr>
      <w:tblGrid>
        <w:gridCol w:w="566"/>
        <w:gridCol w:w="1236"/>
        <w:gridCol w:w="582"/>
        <w:gridCol w:w="2610"/>
        <w:gridCol w:w="2250"/>
        <w:gridCol w:w="1847"/>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892" w:hRule="exact"/>
          <w:tblHeader/>
        </w:trPr>
        <w:tc>
          <w:tcPr>
            <w:tcW w:w="329"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名称</w:t>
            </w:r>
          </w:p>
        </w:tc>
        <w:tc>
          <w:tcPr>
            <w:tcW w:w="651"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分子式</w:t>
            </w:r>
          </w:p>
        </w:tc>
        <w:tc>
          <w:tcPr>
            <w:tcW w:w="337"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危险类别</w:t>
            </w:r>
          </w:p>
        </w:tc>
        <w:tc>
          <w:tcPr>
            <w:tcW w:w="1452"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理化特性</w:t>
            </w:r>
          </w:p>
        </w:tc>
        <w:tc>
          <w:tcPr>
            <w:tcW w:w="1254"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燃烧爆炸性</w:t>
            </w:r>
          </w:p>
        </w:tc>
        <w:tc>
          <w:tcPr>
            <w:tcW w:w="976"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毒性毒理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24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硫磺</w:t>
            </w:r>
          </w:p>
        </w:tc>
        <w:tc>
          <w:tcPr>
            <w:tcW w:w="651" w:type="pct"/>
            <w:vAlign w:val="center"/>
          </w:tcPr>
          <w:p>
            <w:pPr>
              <w:autoSpaceDE w:val="0"/>
              <w:autoSpaceDN w:val="0"/>
              <w:jc w:val="center"/>
              <w:rPr>
                <w:rFonts w:eastAsia="仿宋" w:cs="Times New Roman"/>
                <w:w w:val="83"/>
                <w:kern w:val="0"/>
                <w:sz w:val="21"/>
                <w:szCs w:val="21"/>
                <w:lang w:eastAsia="en-US"/>
              </w:rPr>
            </w:pPr>
            <w:r>
              <w:rPr>
                <w:rFonts w:eastAsia="仿宋" w:cs="Times New Roman"/>
                <w:w w:val="83"/>
                <w:kern w:val="0"/>
                <w:sz w:val="21"/>
                <w:szCs w:val="21"/>
                <w:lang w:eastAsia="en-US"/>
              </w:rPr>
              <w:t>S</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易燃物质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液体硫磺，有特殊臭味，</w:t>
            </w:r>
            <w:r>
              <w:rPr>
                <w:rFonts w:eastAsia="仿宋" w:cs="Times New Roman"/>
                <w:spacing w:val="-62"/>
                <w:kern w:val="0"/>
                <w:sz w:val="21"/>
                <w:szCs w:val="21"/>
                <w:lang w:eastAsia="zh-CN"/>
              </w:rPr>
              <w:t xml:space="preserve"> </w:t>
            </w:r>
            <w:r>
              <w:rPr>
                <w:rFonts w:eastAsia="仿宋" w:cs="Times New Roman"/>
                <w:kern w:val="0"/>
                <w:sz w:val="21"/>
                <w:szCs w:val="21"/>
                <w:lang w:eastAsia="zh-CN"/>
              </w:rPr>
              <w:t>熔点</w:t>
            </w:r>
            <w:r>
              <w:rPr>
                <w:rFonts w:eastAsia="仿宋" w:cs="Times New Roman"/>
                <w:spacing w:val="-60"/>
                <w:kern w:val="0"/>
                <w:sz w:val="21"/>
                <w:szCs w:val="21"/>
                <w:lang w:eastAsia="zh-CN"/>
              </w:rPr>
              <w:t xml:space="preserve"> </w:t>
            </w:r>
            <w:r>
              <w:rPr>
                <w:rFonts w:eastAsia="仿宋" w:cs="Times New Roman"/>
                <w:spacing w:val="-3"/>
                <w:kern w:val="0"/>
                <w:sz w:val="21"/>
                <w:szCs w:val="21"/>
                <w:lang w:eastAsia="zh-CN"/>
              </w:rPr>
              <w:t>119</w:t>
            </w:r>
            <w:r>
              <w:rPr>
                <w:rFonts w:hint="eastAsia" w:ascii="宋体" w:hAnsi="宋体" w:cs="Times New Roman"/>
                <w:spacing w:val="-3"/>
                <w:kern w:val="0"/>
                <w:sz w:val="21"/>
                <w:szCs w:val="21"/>
                <w:lang w:eastAsia="zh-CN"/>
              </w:rPr>
              <w:t>℃</w:t>
            </w:r>
            <w:r>
              <w:rPr>
                <w:rFonts w:eastAsia="仿宋" w:cs="Times New Roman"/>
                <w:spacing w:val="-3"/>
                <w:kern w:val="0"/>
                <w:sz w:val="21"/>
                <w:szCs w:val="21"/>
                <w:lang w:eastAsia="zh-CN"/>
              </w:rPr>
              <w:t>，沸点</w:t>
            </w:r>
            <w:r>
              <w:rPr>
                <w:rFonts w:eastAsia="仿宋" w:cs="Times New Roman"/>
                <w:kern w:val="0"/>
                <w:sz w:val="21"/>
                <w:szCs w:val="21"/>
                <w:lang w:eastAsia="zh-CN"/>
              </w:rPr>
              <w:t xml:space="preserve"> </w:t>
            </w:r>
            <w:r>
              <w:rPr>
                <w:rFonts w:eastAsia="仿宋" w:cs="Times New Roman"/>
                <w:spacing w:val="-4"/>
                <w:kern w:val="0"/>
                <w:sz w:val="21"/>
                <w:szCs w:val="21"/>
                <w:lang w:eastAsia="zh-CN"/>
              </w:rPr>
              <w:t>444.6</w:t>
            </w:r>
            <w:r>
              <w:rPr>
                <w:rFonts w:hint="eastAsia" w:ascii="宋体" w:hAnsi="宋体" w:cs="Times New Roman"/>
                <w:spacing w:val="-4"/>
                <w:kern w:val="0"/>
                <w:sz w:val="21"/>
                <w:szCs w:val="21"/>
                <w:lang w:eastAsia="zh-CN"/>
              </w:rPr>
              <w:t>℃</w:t>
            </w:r>
            <w:r>
              <w:rPr>
                <w:rFonts w:eastAsia="仿宋" w:cs="Times New Roman"/>
                <w:spacing w:val="-4"/>
                <w:kern w:val="0"/>
                <w:sz w:val="21"/>
                <w:szCs w:val="21"/>
                <w:lang w:eastAsia="zh-CN"/>
              </w:rPr>
              <w:t>，不溶于水，微溶干乙醇、醚，易溶于</w:t>
            </w:r>
            <w:r>
              <w:rPr>
                <w:rFonts w:eastAsia="仿宋" w:cs="Times New Roman"/>
                <w:kern w:val="0"/>
                <w:sz w:val="21"/>
                <w:szCs w:val="21"/>
                <w:lang w:eastAsia="zh-CN"/>
              </w:rPr>
              <w:t>二硫化碳。</w:t>
            </w:r>
          </w:p>
        </w:tc>
        <w:tc>
          <w:tcPr>
            <w:tcW w:w="1254"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遇明火、高热易燃。</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低毒类</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91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二氧化硫</w:t>
            </w:r>
          </w:p>
        </w:tc>
        <w:tc>
          <w:tcPr>
            <w:tcW w:w="651" w:type="pct"/>
            <w:vAlign w:val="center"/>
          </w:tcPr>
          <w:p>
            <w:pPr>
              <w:autoSpaceDE w:val="0"/>
              <w:autoSpaceDN w:val="0"/>
              <w:jc w:val="center"/>
              <w:rPr>
                <w:rFonts w:eastAsia="仿宋" w:cs="Times New Roman"/>
                <w:kern w:val="0"/>
                <w:position w:val="-2"/>
                <w:sz w:val="21"/>
                <w:szCs w:val="21"/>
                <w:lang w:eastAsia="en-US"/>
              </w:rPr>
            </w:pPr>
            <w:r>
              <w:rPr>
                <w:rFonts w:eastAsia="仿宋" w:cs="Times New Roman"/>
                <w:kern w:val="0"/>
                <w:sz w:val="21"/>
                <w:szCs w:val="21"/>
                <w:lang w:eastAsia="en-US"/>
              </w:rPr>
              <w:t>SO</w:t>
            </w:r>
            <w:r>
              <w:rPr>
                <w:rFonts w:eastAsia="仿宋" w:cs="Times New Roman"/>
                <w:kern w:val="0"/>
                <w:position w:val="-2"/>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分子量：64</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zh-CN"/>
              </w:rPr>
              <w:t>无色有强烈刺激性的窒息性恶臭气体。极易液</w:t>
            </w:r>
            <w:r>
              <w:rPr>
                <w:rFonts w:eastAsia="仿宋" w:cs="Times New Roman"/>
                <w:spacing w:val="-90"/>
                <w:kern w:val="0"/>
                <w:sz w:val="21"/>
                <w:szCs w:val="21"/>
                <w:lang w:eastAsia="zh-CN"/>
              </w:rPr>
              <w:t xml:space="preserve"> </w:t>
            </w:r>
            <w:r>
              <w:rPr>
                <w:rFonts w:eastAsia="仿宋" w:cs="Times New Roman"/>
                <w:spacing w:val="-5"/>
                <w:kern w:val="0"/>
                <w:sz w:val="21"/>
                <w:szCs w:val="21"/>
                <w:lang w:eastAsia="zh-CN"/>
              </w:rPr>
              <w:t>化。-10</w:t>
            </w:r>
            <w:r>
              <w:rPr>
                <w:rFonts w:hint="eastAsia" w:ascii="宋体" w:hAnsi="宋体" w:cs="Times New Roman"/>
                <w:spacing w:val="-5"/>
                <w:kern w:val="0"/>
                <w:sz w:val="21"/>
                <w:szCs w:val="21"/>
                <w:lang w:eastAsia="zh-CN"/>
              </w:rPr>
              <w:t>℃</w:t>
            </w:r>
            <w:r>
              <w:rPr>
                <w:rFonts w:eastAsia="仿宋" w:cs="Times New Roman"/>
                <w:spacing w:val="-5"/>
                <w:kern w:val="0"/>
                <w:sz w:val="21"/>
                <w:szCs w:val="21"/>
                <w:lang w:eastAsia="zh-CN"/>
              </w:rPr>
              <w:t>时在常压下是一种无色液体。有水分</w:t>
            </w:r>
            <w:r>
              <w:rPr>
                <w:rFonts w:eastAsia="仿宋" w:cs="Times New Roman"/>
                <w:spacing w:val="-84"/>
                <w:kern w:val="0"/>
                <w:sz w:val="21"/>
                <w:szCs w:val="21"/>
                <w:lang w:eastAsia="zh-CN"/>
              </w:rPr>
              <w:t xml:space="preserve"> </w:t>
            </w:r>
            <w:r>
              <w:rPr>
                <w:rFonts w:eastAsia="仿宋" w:cs="Times New Roman"/>
                <w:kern w:val="0"/>
                <w:sz w:val="21"/>
                <w:szCs w:val="21"/>
                <w:lang w:eastAsia="zh-CN"/>
              </w:rPr>
              <w:t>存在时呈现还原作用。相对密度</w:t>
            </w:r>
            <w:r>
              <w:rPr>
                <w:rFonts w:eastAsia="仿宋" w:cs="Times New Roman"/>
                <w:spacing w:val="-48"/>
                <w:kern w:val="0"/>
                <w:sz w:val="21"/>
                <w:szCs w:val="21"/>
                <w:lang w:eastAsia="zh-CN"/>
              </w:rPr>
              <w:t xml:space="preserve"> </w:t>
            </w:r>
            <w:r>
              <w:rPr>
                <w:rFonts w:eastAsia="仿宋" w:cs="Times New Roman"/>
                <w:spacing w:val="-14"/>
                <w:kern w:val="0"/>
                <w:sz w:val="21"/>
                <w:szCs w:val="21"/>
                <w:lang w:eastAsia="zh-CN"/>
              </w:rPr>
              <w:t>1.5（液体）。</w:t>
            </w:r>
            <w:r>
              <w:rPr>
                <w:rFonts w:eastAsia="仿宋" w:cs="Times New Roman"/>
                <w:kern w:val="0"/>
                <w:sz w:val="21"/>
                <w:szCs w:val="21"/>
                <w:lang w:eastAsia="zh-CN"/>
              </w:rPr>
              <w:t xml:space="preserve"> </w:t>
            </w:r>
            <w:r>
              <w:rPr>
                <w:rFonts w:eastAsia="仿宋" w:cs="Times New Roman"/>
                <w:spacing w:val="-5"/>
                <w:kern w:val="0"/>
                <w:sz w:val="21"/>
                <w:szCs w:val="21"/>
                <w:lang w:eastAsia="zh-CN"/>
              </w:rPr>
              <w:t>熔点-72</w:t>
            </w:r>
            <w:r>
              <w:rPr>
                <w:rFonts w:hint="eastAsia" w:ascii="宋体" w:hAnsi="宋体" w:cs="Times New Roman"/>
                <w:spacing w:val="-5"/>
                <w:kern w:val="0"/>
                <w:sz w:val="21"/>
                <w:szCs w:val="21"/>
                <w:lang w:eastAsia="zh-CN"/>
              </w:rPr>
              <w:t>℃</w:t>
            </w:r>
            <w:r>
              <w:rPr>
                <w:rFonts w:eastAsia="仿宋" w:cs="Times New Roman"/>
                <w:spacing w:val="-5"/>
                <w:kern w:val="0"/>
                <w:sz w:val="21"/>
                <w:szCs w:val="21"/>
                <w:lang w:eastAsia="zh-CN"/>
              </w:rPr>
              <w:t>。沸点-10</w:t>
            </w:r>
            <w:r>
              <w:rPr>
                <w:rFonts w:hint="eastAsia" w:ascii="宋体" w:hAnsi="宋体" w:cs="Times New Roman"/>
                <w:spacing w:val="-5"/>
                <w:kern w:val="0"/>
                <w:sz w:val="21"/>
                <w:szCs w:val="21"/>
                <w:lang w:eastAsia="zh-CN"/>
              </w:rPr>
              <w:t>℃</w:t>
            </w:r>
            <w:r>
              <w:rPr>
                <w:rFonts w:eastAsia="仿宋" w:cs="Times New Roman"/>
                <w:spacing w:val="-5"/>
                <w:kern w:val="0"/>
                <w:sz w:val="21"/>
                <w:szCs w:val="21"/>
                <w:lang w:eastAsia="zh-CN"/>
              </w:rPr>
              <w:t>。临界温度</w:t>
            </w:r>
            <w:r>
              <w:rPr>
                <w:rFonts w:eastAsia="仿宋" w:cs="Times New Roman"/>
                <w:spacing w:val="-65"/>
                <w:kern w:val="0"/>
                <w:sz w:val="21"/>
                <w:szCs w:val="21"/>
                <w:lang w:eastAsia="zh-CN"/>
              </w:rPr>
              <w:t xml:space="preserve"> </w:t>
            </w:r>
            <w:r>
              <w:rPr>
                <w:rFonts w:eastAsia="仿宋" w:cs="Times New Roman"/>
                <w:spacing w:val="-6"/>
                <w:kern w:val="0"/>
                <w:sz w:val="21"/>
                <w:szCs w:val="21"/>
                <w:lang w:eastAsia="zh-CN"/>
              </w:rPr>
              <w:t>152</w:t>
            </w:r>
            <w:r>
              <w:rPr>
                <w:rFonts w:hint="eastAsia" w:ascii="宋体" w:hAnsi="宋体" w:cs="Times New Roman"/>
                <w:spacing w:val="-6"/>
                <w:kern w:val="0"/>
                <w:sz w:val="21"/>
                <w:szCs w:val="21"/>
                <w:lang w:eastAsia="zh-CN"/>
              </w:rPr>
              <w:t>℃</w:t>
            </w:r>
            <w:r>
              <w:rPr>
                <w:rFonts w:eastAsia="仿宋" w:cs="Times New Roman"/>
                <w:spacing w:val="-6"/>
                <w:kern w:val="0"/>
                <w:sz w:val="21"/>
                <w:szCs w:val="21"/>
                <w:lang w:eastAsia="zh-CN"/>
              </w:rPr>
              <w:t>，临界</w:t>
            </w:r>
            <w:r>
              <w:rPr>
                <w:rFonts w:eastAsia="仿宋" w:cs="Times New Roman"/>
                <w:kern w:val="0"/>
                <w:sz w:val="21"/>
                <w:szCs w:val="21"/>
                <w:lang w:eastAsia="zh-CN"/>
              </w:rPr>
              <w:t xml:space="preserve"> </w:t>
            </w:r>
            <w:r>
              <w:rPr>
                <w:rFonts w:eastAsia="仿宋" w:cs="Times New Roman"/>
                <w:w w:val="95"/>
                <w:kern w:val="0"/>
                <w:sz w:val="21"/>
                <w:szCs w:val="21"/>
                <w:lang w:eastAsia="zh-CN"/>
              </w:rPr>
              <w:t>压力</w:t>
            </w:r>
            <w:r>
              <w:rPr>
                <w:rFonts w:eastAsia="仿宋" w:cs="Times New Roman"/>
                <w:spacing w:val="-14"/>
                <w:w w:val="95"/>
                <w:kern w:val="0"/>
                <w:sz w:val="21"/>
                <w:szCs w:val="21"/>
                <w:lang w:eastAsia="zh-CN"/>
              </w:rPr>
              <w:t xml:space="preserve"> </w:t>
            </w:r>
            <w:r>
              <w:rPr>
                <w:rFonts w:eastAsia="仿宋" w:cs="Times New Roman"/>
                <w:w w:val="95"/>
                <w:kern w:val="0"/>
                <w:sz w:val="21"/>
                <w:szCs w:val="21"/>
                <w:lang w:eastAsia="zh-CN"/>
              </w:rPr>
              <w:t>7.8*106Pa。蒸气压</w:t>
            </w:r>
            <w:r>
              <w:rPr>
                <w:rFonts w:eastAsia="仿宋" w:cs="Times New Roman"/>
                <w:spacing w:val="-16"/>
                <w:w w:val="95"/>
                <w:kern w:val="0"/>
                <w:sz w:val="21"/>
                <w:szCs w:val="21"/>
                <w:lang w:eastAsia="zh-CN"/>
              </w:rPr>
              <w:t xml:space="preserve"> </w:t>
            </w:r>
            <w:r>
              <w:rPr>
                <w:rFonts w:eastAsia="仿宋" w:cs="Times New Roman"/>
                <w:spacing w:val="-8"/>
                <w:w w:val="95"/>
                <w:kern w:val="0"/>
                <w:sz w:val="21"/>
                <w:szCs w:val="21"/>
                <w:lang w:eastAsia="zh-CN"/>
              </w:rPr>
              <w:t>338.3kPa（21.1</w:t>
            </w:r>
            <w:r>
              <w:rPr>
                <w:rFonts w:hint="eastAsia" w:ascii="宋体" w:hAnsi="宋体" w:cs="Times New Roman"/>
                <w:spacing w:val="-8"/>
                <w:w w:val="95"/>
                <w:kern w:val="0"/>
                <w:sz w:val="21"/>
                <w:szCs w:val="21"/>
                <w:lang w:eastAsia="zh-CN"/>
              </w:rPr>
              <w:t>℃</w:t>
            </w:r>
            <w:r>
              <w:rPr>
                <w:rFonts w:eastAsia="仿宋" w:cs="Times New Roman"/>
                <w:spacing w:val="-8"/>
                <w:w w:val="95"/>
                <w:kern w:val="0"/>
                <w:sz w:val="21"/>
                <w:szCs w:val="21"/>
                <w:lang w:eastAsia="zh-CN"/>
              </w:rPr>
              <w:t>），</w:t>
            </w:r>
            <w:r>
              <w:rPr>
                <w:rFonts w:eastAsia="仿宋" w:cs="Times New Roman"/>
                <w:spacing w:val="-96"/>
                <w:w w:val="95"/>
                <w:kern w:val="0"/>
                <w:sz w:val="21"/>
                <w:szCs w:val="21"/>
                <w:lang w:eastAsia="zh-CN"/>
              </w:rPr>
              <w:t xml:space="preserve"> </w:t>
            </w:r>
            <w:r>
              <w:rPr>
                <w:rFonts w:eastAsia="仿宋" w:cs="Times New Roman"/>
                <w:kern w:val="0"/>
                <w:sz w:val="21"/>
                <w:szCs w:val="21"/>
                <w:lang w:eastAsia="zh-CN"/>
              </w:rPr>
              <w:t>蒸气相对密度</w:t>
            </w:r>
            <w:r>
              <w:rPr>
                <w:rFonts w:eastAsia="仿宋" w:cs="Times New Roman"/>
                <w:spacing w:val="-59"/>
                <w:kern w:val="0"/>
                <w:sz w:val="21"/>
                <w:szCs w:val="21"/>
                <w:lang w:eastAsia="zh-CN"/>
              </w:rPr>
              <w:t xml:space="preserve"> </w:t>
            </w:r>
            <w:r>
              <w:rPr>
                <w:rFonts w:eastAsia="仿宋" w:cs="Times New Roman"/>
                <w:spacing w:val="-19"/>
                <w:kern w:val="0"/>
                <w:sz w:val="21"/>
                <w:szCs w:val="21"/>
                <w:lang w:eastAsia="zh-CN"/>
              </w:rPr>
              <w:t>2.3（0</w:t>
            </w:r>
            <w:r>
              <w:rPr>
                <w:rFonts w:hint="eastAsia" w:ascii="宋体" w:hAnsi="宋体" w:cs="Times New Roman"/>
                <w:spacing w:val="-19"/>
                <w:kern w:val="0"/>
                <w:sz w:val="21"/>
                <w:szCs w:val="21"/>
                <w:lang w:eastAsia="zh-CN"/>
              </w:rPr>
              <w:t>℃</w:t>
            </w:r>
            <w:r>
              <w:rPr>
                <w:rFonts w:eastAsia="仿宋" w:cs="Times New Roman"/>
                <w:spacing w:val="-19"/>
                <w:kern w:val="0"/>
                <w:sz w:val="21"/>
                <w:szCs w:val="21"/>
                <w:lang w:eastAsia="zh-CN"/>
              </w:rPr>
              <w:t>）。</w:t>
            </w:r>
            <w:r>
              <w:rPr>
                <w:rFonts w:eastAsia="仿宋" w:cs="Times New Roman"/>
                <w:spacing w:val="-19"/>
                <w:kern w:val="0"/>
                <w:sz w:val="21"/>
                <w:szCs w:val="21"/>
                <w:lang w:eastAsia="en-US"/>
              </w:rPr>
              <w:t>溶于水、硫酸、乙酸、</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醇、氯仿和醚等。</w:t>
            </w:r>
          </w:p>
        </w:tc>
        <w:tc>
          <w:tcPr>
            <w:tcW w:w="1254"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本品不燃，有毒，具强刺激性。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 xml:space="preserve">LD50：无资料。 </w:t>
            </w:r>
            <w:r>
              <w:rPr>
                <w:rFonts w:eastAsia="仿宋" w:cs="Times New Roman"/>
                <w:w w:val="90"/>
                <w:kern w:val="0"/>
                <w:sz w:val="21"/>
                <w:szCs w:val="21"/>
                <w:lang w:eastAsia="zh-CN"/>
              </w:rPr>
              <w:t>LC50：6600mg/m</w:t>
            </w:r>
            <w:r>
              <w:rPr>
                <w:rFonts w:eastAsia="仿宋" w:cs="Times New Roman"/>
                <w:w w:val="90"/>
                <w:kern w:val="0"/>
                <w:position w:val="10"/>
                <w:sz w:val="21"/>
                <w:szCs w:val="21"/>
                <w:lang w:eastAsia="zh-CN"/>
              </w:rPr>
              <w:t>3</w:t>
            </w:r>
            <w:r>
              <w:rPr>
                <w:rFonts w:eastAsia="仿宋" w:cs="Times New Roman"/>
                <w:w w:val="90"/>
                <w:kern w:val="0"/>
                <w:sz w:val="21"/>
                <w:szCs w:val="21"/>
                <w:lang w:eastAsia="zh-CN"/>
              </w:rPr>
              <w:t>，</w:t>
            </w:r>
            <w:r>
              <w:rPr>
                <w:rFonts w:eastAsia="仿宋" w:cs="Times New Roman"/>
                <w:kern w:val="0"/>
                <w:sz w:val="21"/>
                <w:szCs w:val="21"/>
                <w:lang w:eastAsia="zh-CN"/>
              </w:rPr>
              <w:t xml:space="preserve"> 1</w:t>
            </w:r>
            <w:r>
              <w:rPr>
                <w:rFonts w:eastAsia="仿宋" w:cs="Times New Roman"/>
                <w:spacing w:val="-19"/>
                <w:kern w:val="0"/>
                <w:sz w:val="21"/>
                <w:szCs w:val="21"/>
                <w:lang w:eastAsia="zh-CN"/>
              </w:rPr>
              <w:t xml:space="preserve"> </w:t>
            </w:r>
            <w:r>
              <w:rPr>
                <w:rFonts w:eastAsia="仿宋" w:cs="Times New Roman"/>
                <w:kern w:val="0"/>
                <w:sz w:val="21"/>
                <w:szCs w:val="21"/>
                <w:lang w:eastAsia="zh-CN"/>
              </w:rPr>
              <w:t>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4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三氧化硫</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SO</w:t>
            </w:r>
            <w:r>
              <w:rPr>
                <w:rFonts w:eastAsia="仿宋" w:cs="Times New Roman"/>
                <w:kern w:val="0"/>
                <w:position w:val="-2"/>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分子量：80</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针状固体或液体，有刺激性气味液体。相对密</w:t>
            </w:r>
            <w:r>
              <w:rPr>
                <w:rFonts w:eastAsia="仿宋" w:cs="Times New Roman"/>
                <w:spacing w:val="-90"/>
                <w:kern w:val="0"/>
                <w:sz w:val="21"/>
                <w:szCs w:val="21"/>
                <w:lang w:eastAsia="zh-CN"/>
              </w:rPr>
              <w:t xml:space="preserve"> </w:t>
            </w:r>
            <w:r>
              <w:rPr>
                <w:rFonts w:eastAsia="仿宋" w:cs="Times New Roman"/>
                <w:w w:val="95"/>
                <w:kern w:val="0"/>
                <w:sz w:val="21"/>
                <w:szCs w:val="21"/>
                <w:lang w:eastAsia="zh-CN"/>
              </w:rPr>
              <w:t xml:space="preserve">度 </w:t>
            </w:r>
            <w:r>
              <w:rPr>
                <w:rFonts w:eastAsia="仿宋" w:cs="Times New Roman"/>
                <w:spacing w:val="-9"/>
                <w:w w:val="95"/>
                <w:kern w:val="0"/>
                <w:sz w:val="21"/>
                <w:szCs w:val="21"/>
                <w:lang w:eastAsia="zh-CN"/>
              </w:rPr>
              <w:t>2.75，1.97（20</w:t>
            </w:r>
            <w:r>
              <w:rPr>
                <w:rFonts w:hint="eastAsia" w:ascii="宋体" w:hAnsi="宋体" w:cs="Times New Roman"/>
                <w:spacing w:val="-9"/>
                <w:w w:val="95"/>
                <w:kern w:val="0"/>
                <w:sz w:val="21"/>
                <w:szCs w:val="21"/>
                <w:lang w:eastAsia="zh-CN"/>
              </w:rPr>
              <w:t>℃</w:t>
            </w:r>
            <w:r>
              <w:rPr>
                <w:rFonts w:eastAsia="仿宋" w:cs="Times New Roman"/>
                <w:spacing w:val="-9"/>
                <w:w w:val="95"/>
                <w:kern w:val="0"/>
                <w:sz w:val="21"/>
                <w:szCs w:val="21"/>
                <w:lang w:eastAsia="zh-CN"/>
              </w:rPr>
              <w:t xml:space="preserve">液体）。熔点 </w:t>
            </w:r>
            <w:r>
              <w:rPr>
                <w:rFonts w:eastAsia="仿宋" w:cs="Times New Roman"/>
                <w:spacing w:val="-3"/>
                <w:w w:val="95"/>
                <w:kern w:val="0"/>
                <w:sz w:val="21"/>
                <w:szCs w:val="21"/>
                <w:lang w:eastAsia="zh-CN"/>
              </w:rPr>
              <w:t>16.8</w:t>
            </w:r>
            <w:r>
              <w:rPr>
                <w:rFonts w:hint="eastAsia" w:ascii="宋体" w:hAnsi="宋体" w:cs="Times New Roman"/>
                <w:spacing w:val="-3"/>
                <w:w w:val="95"/>
                <w:kern w:val="0"/>
                <w:sz w:val="21"/>
                <w:szCs w:val="21"/>
                <w:lang w:eastAsia="zh-CN"/>
              </w:rPr>
              <w:t>℃</w:t>
            </w:r>
            <w:r>
              <w:rPr>
                <w:rFonts w:eastAsia="仿宋" w:cs="Times New Roman"/>
                <w:spacing w:val="-3"/>
                <w:w w:val="95"/>
                <w:kern w:val="0"/>
                <w:sz w:val="21"/>
                <w:szCs w:val="21"/>
                <w:lang w:eastAsia="zh-CN"/>
              </w:rPr>
              <w:t>。沸点</w:t>
            </w:r>
            <w:r>
              <w:rPr>
                <w:rFonts w:eastAsia="仿宋" w:cs="Times New Roman"/>
                <w:spacing w:val="-73"/>
                <w:w w:val="95"/>
                <w:kern w:val="0"/>
                <w:sz w:val="21"/>
                <w:szCs w:val="21"/>
                <w:lang w:eastAsia="zh-CN"/>
              </w:rPr>
              <w:t xml:space="preserve"> </w:t>
            </w:r>
            <w:r>
              <w:rPr>
                <w:rFonts w:eastAsia="仿宋" w:cs="Times New Roman"/>
                <w:w w:val="95"/>
                <w:kern w:val="0"/>
                <w:sz w:val="21"/>
                <w:szCs w:val="21"/>
                <w:lang w:eastAsia="zh-CN"/>
              </w:rPr>
              <w:t>44.8</w:t>
            </w:r>
            <w:r>
              <w:rPr>
                <w:rFonts w:hint="eastAsia" w:ascii="宋体" w:hAnsi="宋体" w:cs="Times New Roman"/>
                <w:w w:val="95"/>
                <w:kern w:val="0"/>
                <w:sz w:val="21"/>
                <w:szCs w:val="21"/>
                <w:lang w:eastAsia="zh-CN"/>
              </w:rPr>
              <w:t>℃</w:t>
            </w:r>
            <w:r>
              <w:rPr>
                <w:rFonts w:eastAsia="仿宋" w:cs="Times New Roman"/>
                <w:w w:val="95"/>
                <w:kern w:val="0"/>
                <w:sz w:val="21"/>
                <w:szCs w:val="21"/>
                <w:lang w:eastAsia="zh-CN"/>
              </w:rPr>
              <w:t>。蒸气压</w:t>
            </w:r>
            <w:r>
              <w:rPr>
                <w:rFonts w:eastAsia="仿宋" w:cs="Times New Roman"/>
                <w:spacing w:val="-57"/>
                <w:w w:val="95"/>
                <w:kern w:val="0"/>
                <w:sz w:val="21"/>
                <w:szCs w:val="21"/>
                <w:lang w:eastAsia="zh-CN"/>
              </w:rPr>
              <w:t xml:space="preserve"> </w:t>
            </w:r>
            <w:r>
              <w:rPr>
                <w:rFonts w:eastAsia="仿宋" w:cs="Times New Roman"/>
                <w:w w:val="95"/>
                <w:kern w:val="0"/>
                <w:sz w:val="21"/>
                <w:szCs w:val="21"/>
                <w:lang w:eastAsia="zh-CN"/>
              </w:rPr>
              <w:t>37.32kPa(25</w:t>
            </w:r>
            <w:r>
              <w:rPr>
                <w:rFonts w:hint="eastAsia" w:ascii="宋体" w:hAnsi="宋体" w:cs="Times New Roman"/>
                <w:w w:val="95"/>
                <w:kern w:val="0"/>
                <w:sz w:val="21"/>
                <w:szCs w:val="21"/>
                <w:lang w:eastAsia="zh-CN"/>
              </w:rPr>
              <w:t>℃</w:t>
            </w:r>
            <w:r>
              <w:rPr>
                <w:rFonts w:eastAsia="仿宋" w:cs="Times New Roman"/>
                <w:w w:val="95"/>
                <w:kern w:val="0"/>
                <w:sz w:val="21"/>
                <w:szCs w:val="21"/>
                <w:lang w:eastAsia="zh-CN"/>
              </w:rPr>
              <w:t>)。</w:t>
            </w:r>
          </w:p>
        </w:tc>
        <w:tc>
          <w:tcPr>
            <w:tcW w:w="1254" w:type="pct"/>
            <w:vAlign w:val="center"/>
          </w:tcPr>
          <w:p>
            <w:pPr>
              <w:autoSpaceDE w:val="0"/>
              <w:autoSpaceDN w:val="0"/>
              <w:jc w:val="center"/>
              <w:rPr>
                <w:rFonts w:eastAsia="仿宋" w:cs="Times New Roman"/>
                <w:kern w:val="0"/>
                <w:sz w:val="21"/>
                <w:szCs w:val="21"/>
                <w:lang w:eastAsia="en-US"/>
              </w:rPr>
            </w:pPr>
            <w:r>
              <w:rPr>
                <w:rFonts w:eastAsia="仿宋" w:cs="Times New Roman"/>
                <w:spacing w:val="3"/>
                <w:kern w:val="0"/>
                <w:sz w:val="21"/>
                <w:szCs w:val="21"/>
                <w:lang w:eastAsia="zh-CN"/>
              </w:rPr>
              <w:t>本品不燃，具强腐蚀性、强刺激性，可</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致人体灼伤。与水发生爆炸性剧烈反应。</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与氧气、氟、氧化铅、次亚氯酸、过氯</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酸、磷、四氟乙烯等接触剧烈反应。与</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有机材料如木、棉花或草接触，会着火。</w:t>
            </w:r>
            <w:r>
              <w:rPr>
                <w:rFonts w:eastAsia="仿宋" w:cs="Times New Roman"/>
                <w:spacing w:val="-71"/>
                <w:kern w:val="0"/>
                <w:sz w:val="21"/>
                <w:szCs w:val="21"/>
                <w:lang w:eastAsia="zh-CN"/>
              </w:rPr>
              <w:t xml:space="preserve"> </w:t>
            </w:r>
            <w:r>
              <w:rPr>
                <w:rFonts w:eastAsia="仿宋" w:cs="Times New Roman"/>
                <w:spacing w:val="-3"/>
                <w:kern w:val="0"/>
                <w:sz w:val="21"/>
                <w:szCs w:val="21"/>
                <w:lang w:eastAsia="zh-CN"/>
              </w:rPr>
              <w:t>吸湿性极强，在空气中产生有毒的白烟。</w:t>
            </w:r>
            <w:r>
              <w:rPr>
                <w:rFonts w:eastAsia="仿宋" w:cs="Times New Roman"/>
                <w:spacing w:val="-72"/>
                <w:kern w:val="0"/>
                <w:sz w:val="21"/>
                <w:szCs w:val="21"/>
                <w:lang w:eastAsia="zh-CN"/>
              </w:rPr>
              <w:t xml:space="preserve"> </w:t>
            </w:r>
            <w:r>
              <w:rPr>
                <w:rFonts w:eastAsia="仿宋" w:cs="Times New Roman"/>
                <w:kern w:val="0"/>
                <w:sz w:val="21"/>
                <w:szCs w:val="21"/>
                <w:lang w:eastAsia="en-US"/>
              </w:rPr>
              <w:t>遇潮时对大多数金属有强腐蚀性。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其毒性表现与硫酸 同。对皮肤、粘膜 等组织有强烈的刺 激和腐蚀作用。</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81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硫酸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position w:val="-2"/>
                <w:sz w:val="21"/>
                <w:szCs w:val="21"/>
                <w:vertAlign w:val="subscript"/>
                <w:lang w:eastAsia="en-US"/>
              </w:rPr>
              <w:t>2</w:t>
            </w:r>
            <w:r>
              <w:rPr>
                <w:rFonts w:eastAsia="仿宋" w:cs="Times New Roman"/>
                <w:kern w:val="0"/>
                <w:sz w:val="21"/>
                <w:szCs w:val="21"/>
                <w:lang w:eastAsia="en-US"/>
              </w:rPr>
              <w:t>SO</w:t>
            </w:r>
            <w:r>
              <w:rPr>
                <w:rFonts w:eastAsia="仿宋" w:cs="Times New Roman"/>
                <w:kern w:val="0"/>
                <w:position w:val="-2"/>
                <w:sz w:val="21"/>
                <w:szCs w:val="21"/>
                <w:vertAlign w:val="subscript"/>
                <w:lang w:eastAsia="en-US"/>
              </w:rPr>
              <w:t>4</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分子量：98</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无色无臭透明粘稠的油状液体，强腐蚀性。相</w:t>
            </w:r>
            <w:r>
              <w:rPr>
                <w:rFonts w:eastAsia="仿宋" w:cs="Times New Roman"/>
                <w:spacing w:val="-90"/>
                <w:kern w:val="0"/>
                <w:sz w:val="21"/>
                <w:szCs w:val="21"/>
                <w:lang w:eastAsia="zh-CN"/>
              </w:rPr>
              <w:t xml:space="preserve"> </w:t>
            </w:r>
            <w:r>
              <w:rPr>
                <w:rFonts w:eastAsia="仿宋" w:cs="Times New Roman"/>
                <w:w w:val="95"/>
                <w:kern w:val="0"/>
                <w:sz w:val="21"/>
                <w:szCs w:val="21"/>
                <w:lang w:eastAsia="zh-CN"/>
              </w:rPr>
              <w:t>对密度</w:t>
            </w:r>
            <w:r>
              <w:rPr>
                <w:rFonts w:eastAsia="仿宋" w:cs="Times New Roman"/>
                <w:spacing w:val="-12"/>
                <w:w w:val="95"/>
                <w:kern w:val="0"/>
                <w:sz w:val="21"/>
                <w:szCs w:val="21"/>
                <w:lang w:eastAsia="zh-CN"/>
              </w:rPr>
              <w:t xml:space="preserve"> </w:t>
            </w:r>
            <w:r>
              <w:rPr>
                <w:rFonts w:eastAsia="仿宋" w:cs="Times New Roman"/>
                <w:w w:val="95"/>
                <w:kern w:val="0"/>
                <w:sz w:val="21"/>
                <w:szCs w:val="21"/>
                <w:lang w:eastAsia="zh-CN"/>
              </w:rPr>
              <w:t>1.834。熔点</w:t>
            </w:r>
            <w:r>
              <w:rPr>
                <w:rFonts w:eastAsia="仿宋" w:cs="Times New Roman"/>
                <w:spacing w:val="-12"/>
                <w:w w:val="95"/>
                <w:kern w:val="0"/>
                <w:sz w:val="21"/>
                <w:szCs w:val="21"/>
                <w:lang w:eastAsia="zh-CN"/>
              </w:rPr>
              <w:t xml:space="preserve"> </w:t>
            </w:r>
            <w:r>
              <w:rPr>
                <w:rFonts w:eastAsia="仿宋" w:cs="Times New Roman"/>
                <w:w w:val="95"/>
                <w:kern w:val="0"/>
                <w:sz w:val="21"/>
                <w:szCs w:val="21"/>
                <w:lang w:eastAsia="zh-CN"/>
              </w:rPr>
              <w:t>10.49</w:t>
            </w:r>
            <w:r>
              <w:rPr>
                <w:rFonts w:hint="eastAsia" w:ascii="宋体" w:hAnsi="宋体" w:cs="Times New Roman"/>
                <w:w w:val="95"/>
                <w:kern w:val="0"/>
                <w:sz w:val="21"/>
                <w:szCs w:val="21"/>
                <w:lang w:eastAsia="zh-CN"/>
              </w:rPr>
              <w:t>℃</w:t>
            </w:r>
            <w:r>
              <w:rPr>
                <w:rFonts w:eastAsia="仿宋" w:cs="Times New Roman"/>
                <w:w w:val="95"/>
                <w:kern w:val="0"/>
                <w:sz w:val="21"/>
                <w:szCs w:val="21"/>
                <w:lang w:eastAsia="zh-CN"/>
              </w:rPr>
              <w:t>，98%硫酸+3</w:t>
            </w:r>
            <w:r>
              <w:rPr>
                <w:rFonts w:hint="eastAsia" w:ascii="宋体" w:hAnsi="宋体" w:cs="Times New Roman"/>
                <w:w w:val="95"/>
                <w:kern w:val="0"/>
                <w:sz w:val="21"/>
                <w:szCs w:val="21"/>
                <w:lang w:eastAsia="zh-CN"/>
              </w:rPr>
              <w:t>℃</w:t>
            </w:r>
            <w:r>
              <w:rPr>
                <w:rFonts w:eastAsia="仿宋" w:cs="Times New Roman"/>
                <w:w w:val="95"/>
                <w:kern w:val="0"/>
                <w:sz w:val="21"/>
                <w:szCs w:val="21"/>
                <w:lang w:eastAsia="zh-CN"/>
              </w:rPr>
              <w:t>，</w:t>
            </w:r>
            <w:r>
              <w:rPr>
                <w:rFonts w:eastAsia="仿宋" w:cs="Times New Roman"/>
                <w:spacing w:val="-93"/>
                <w:w w:val="95"/>
                <w:kern w:val="0"/>
                <w:sz w:val="21"/>
                <w:szCs w:val="21"/>
                <w:lang w:eastAsia="zh-CN"/>
              </w:rPr>
              <w:t xml:space="preserve"> </w:t>
            </w:r>
            <w:r>
              <w:rPr>
                <w:rFonts w:eastAsia="仿宋" w:cs="Times New Roman"/>
                <w:spacing w:val="-4"/>
                <w:w w:val="95"/>
                <w:kern w:val="0"/>
                <w:sz w:val="21"/>
                <w:szCs w:val="21"/>
                <w:lang w:eastAsia="zh-CN"/>
              </w:rPr>
              <w:t>93%硫酸-32</w:t>
            </w:r>
            <w:r>
              <w:rPr>
                <w:rFonts w:hint="eastAsia" w:ascii="宋体" w:hAnsi="宋体" w:cs="Times New Roman"/>
                <w:spacing w:val="-4"/>
                <w:w w:val="95"/>
                <w:kern w:val="0"/>
                <w:sz w:val="21"/>
                <w:szCs w:val="21"/>
                <w:lang w:eastAsia="zh-CN"/>
              </w:rPr>
              <w:t>℃</w:t>
            </w:r>
            <w:r>
              <w:rPr>
                <w:rFonts w:eastAsia="仿宋" w:cs="Times New Roman"/>
                <w:spacing w:val="-4"/>
                <w:w w:val="95"/>
                <w:kern w:val="0"/>
                <w:sz w:val="21"/>
                <w:szCs w:val="21"/>
                <w:lang w:eastAsia="zh-CN"/>
              </w:rPr>
              <w:t>。蒸气压</w:t>
            </w:r>
            <w:r>
              <w:rPr>
                <w:rFonts w:eastAsia="仿宋" w:cs="Times New Roman"/>
                <w:spacing w:val="32"/>
                <w:w w:val="95"/>
                <w:kern w:val="0"/>
                <w:sz w:val="21"/>
                <w:szCs w:val="21"/>
                <w:lang w:eastAsia="zh-CN"/>
              </w:rPr>
              <w:t xml:space="preserve"> </w:t>
            </w:r>
            <w:r>
              <w:rPr>
                <w:rFonts w:eastAsia="仿宋" w:cs="Times New Roman"/>
                <w:spacing w:val="-12"/>
                <w:w w:val="95"/>
                <w:kern w:val="0"/>
                <w:sz w:val="21"/>
                <w:szCs w:val="21"/>
                <w:lang w:eastAsia="zh-CN"/>
              </w:rPr>
              <w:t>133.3Pa（145.8</w:t>
            </w:r>
            <w:r>
              <w:rPr>
                <w:rFonts w:hint="eastAsia" w:ascii="宋体" w:hAnsi="宋体" w:cs="Times New Roman"/>
                <w:spacing w:val="-12"/>
                <w:w w:val="95"/>
                <w:kern w:val="0"/>
                <w:sz w:val="21"/>
                <w:szCs w:val="21"/>
                <w:lang w:eastAsia="zh-CN"/>
              </w:rPr>
              <w:t>℃</w:t>
            </w:r>
            <w:r>
              <w:rPr>
                <w:rFonts w:eastAsia="仿宋" w:cs="Times New Roman"/>
                <w:spacing w:val="-12"/>
                <w:w w:val="95"/>
                <w:kern w:val="0"/>
                <w:sz w:val="21"/>
                <w:szCs w:val="21"/>
                <w:lang w:eastAsia="zh-CN"/>
              </w:rPr>
              <w:t>）。易</w:t>
            </w:r>
            <w:r>
              <w:rPr>
                <w:rFonts w:eastAsia="仿宋" w:cs="Times New Roman"/>
                <w:kern w:val="0"/>
                <w:sz w:val="21"/>
                <w:szCs w:val="21"/>
                <w:lang w:eastAsia="zh-CN"/>
              </w:rPr>
              <w:t>任意溶于水，同时发生大量高热，会使硫酸飞</w:t>
            </w:r>
            <w:r>
              <w:rPr>
                <w:rFonts w:eastAsia="仿宋" w:cs="Times New Roman"/>
                <w:spacing w:val="-90"/>
                <w:kern w:val="0"/>
                <w:sz w:val="21"/>
                <w:szCs w:val="21"/>
                <w:lang w:eastAsia="zh-CN"/>
              </w:rPr>
              <w:t xml:space="preserve"> </w:t>
            </w:r>
            <w:r>
              <w:rPr>
                <w:rFonts w:eastAsia="仿宋" w:cs="Times New Roman"/>
                <w:kern w:val="0"/>
                <w:sz w:val="21"/>
                <w:szCs w:val="21"/>
                <w:lang w:eastAsia="zh-CN"/>
              </w:rPr>
              <w:t>溅伤人或引起飞溅。</w:t>
            </w:r>
          </w:p>
        </w:tc>
        <w:tc>
          <w:tcPr>
            <w:tcW w:w="1254" w:type="pct"/>
            <w:vAlign w:val="center"/>
          </w:tcPr>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助燃，具强腐蚀性、强刺激性，可致人</w:t>
            </w:r>
            <w:r>
              <w:rPr>
                <w:rFonts w:eastAsia="仿宋" w:cs="Times New Roman"/>
                <w:spacing w:val="-72"/>
                <w:kern w:val="0"/>
                <w:sz w:val="21"/>
                <w:szCs w:val="21"/>
                <w:lang w:eastAsia="zh-CN"/>
              </w:rPr>
              <w:t xml:space="preserve"> </w:t>
            </w:r>
            <w:r>
              <w:rPr>
                <w:rFonts w:eastAsia="仿宋" w:cs="Times New Roman"/>
                <w:spacing w:val="-5"/>
                <w:kern w:val="0"/>
                <w:sz w:val="21"/>
                <w:szCs w:val="21"/>
                <w:lang w:eastAsia="zh-CN"/>
              </w:rPr>
              <w:t xml:space="preserve">体灼伤。遇水大量放热, </w:t>
            </w:r>
            <w:r>
              <w:rPr>
                <w:rFonts w:eastAsia="仿宋" w:cs="Times New Roman"/>
                <w:spacing w:val="16"/>
                <w:kern w:val="0"/>
                <w:sz w:val="21"/>
                <w:szCs w:val="21"/>
                <w:lang w:eastAsia="zh-CN"/>
              </w:rPr>
              <w:t xml:space="preserve"> </w:t>
            </w:r>
            <w:r>
              <w:rPr>
                <w:rFonts w:eastAsia="仿宋" w:cs="Times New Roman"/>
                <w:spacing w:val="-7"/>
                <w:kern w:val="0"/>
                <w:sz w:val="21"/>
                <w:szCs w:val="21"/>
                <w:lang w:eastAsia="zh-CN"/>
              </w:rPr>
              <w:t>可发生沸溅。与</w:t>
            </w:r>
          </w:p>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易燃物（如苯）和可燃物（如糖、纤维</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素等）接触会发生剧烈反应，甚至引起燃烧。遇电石、高氯酸盐、雷酸盐、硝</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酸盐、苦味酸盐、金属粉末等猛烈反应，</w:t>
            </w:r>
          </w:p>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发生爆炸或燃烧。有强烈的腐蚀性和吸</w:t>
            </w:r>
            <w:r>
              <w:rPr>
                <w:rFonts w:eastAsia="仿宋" w:cs="Times New Roman"/>
                <w:spacing w:val="-72"/>
                <w:kern w:val="0"/>
                <w:sz w:val="21"/>
                <w:szCs w:val="21"/>
                <w:lang w:eastAsia="zh-CN"/>
              </w:rPr>
              <w:t xml:space="preserve"> </w:t>
            </w:r>
            <w:r>
              <w:rPr>
                <w:rFonts w:eastAsia="仿宋" w:cs="Times New Roman"/>
                <w:kern w:val="0"/>
                <w:sz w:val="21"/>
                <w:szCs w:val="21"/>
                <w:lang w:eastAsia="zh-CN"/>
              </w:rPr>
              <w:t>水性。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急性毒性：</w:t>
            </w:r>
            <w:r>
              <w:rPr>
                <w:rFonts w:eastAsia="仿宋" w:cs="Times New Roman"/>
                <w:spacing w:val="-1"/>
                <w:w w:val="95"/>
                <w:kern w:val="0"/>
                <w:sz w:val="21"/>
                <w:szCs w:val="21"/>
                <w:lang w:eastAsia="en-US"/>
              </w:rPr>
              <w:t>LD50：</w:t>
            </w:r>
            <w:r>
              <w:rPr>
                <w:rFonts w:eastAsia="仿宋" w:cs="Times New Roman"/>
                <w:kern w:val="0"/>
                <w:sz w:val="21"/>
                <w:szCs w:val="21"/>
                <w:lang w:eastAsia="en-US"/>
              </w:rPr>
              <w:t>2140</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 xml:space="preserve">mg/kg(大鼠经口) </w:t>
            </w:r>
            <w:r>
              <w:rPr>
                <w:rFonts w:eastAsia="仿宋" w:cs="Times New Roman"/>
                <w:spacing w:val="-8"/>
                <w:w w:val="95"/>
                <w:kern w:val="0"/>
                <w:sz w:val="21"/>
                <w:szCs w:val="21"/>
                <w:lang w:eastAsia="en-US"/>
              </w:rPr>
              <w:t>LC50：510mg/m</w:t>
            </w:r>
            <w:r>
              <w:rPr>
                <w:rFonts w:eastAsia="仿宋" w:cs="Times New Roman"/>
                <w:spacing w:val="-8"/>
                <w:w w:val="95"/>
                <w:kern w:val="0"/>
                <w:position w:val="10"/>
                <w:sz w:val="21"/>
                <w:szCs w:val="21"/>
                <w:lang w:eastAsia="en-US"/>
              </w:rPr>
              <w:t>3</w:t>
            </w:r>
            <w:r>
              <w:rPr>
                <w:rFonts w:eastAsia="仿宋" w:cs="Times New Roman"/>
                <w:spacing w:val="-8"/>
                <w:w w:val="95"/>
                <w:kern w:val="0"/>
                <w:sz w:val="21"/>
                <w:szCs w:val="21"/>
                <w:lang w:eastAsia="en-US"/>
              </w:rPr>
              <w:t>，2</w:t>
            </w:r>
            <w:r>
              <w:rPr>
                <w:rFonts w:eastAsia="仿宋" w:cs="Times New Roman"/>
                <w:spacing w:val="-49"/>
                <w:w w:val="95"/>
                <w:kern w:val="0"/>
                <w:sz w:val="21"/>
                <w:szCs w:val="21"/>
                <w:lang w:eastAsia="en-US"/>
              </w:rPr>
              <w:t xml:space="preserve"> </w:t>
            </w:r>
            <w:r>
              <w:rPr>
                <w:rFonts w:eastAsia="仿宋" w:cs="Times New Roman"/>
                <w:spacing w:val="13"/>
                <w:kern w:val="0"/>
                <w:sz w:val="21"/>
                <w:szCs w:val="21"/>
                <w:lang w:eastAsia="en-US"/>
              </w:rPr>
              <w:t>小时(</w:t>
            </w:r>
            <w:r>
              <w:rPr>
                <w:rFonts w:eastAsia="仿宋" w:cs="Times New Roman"/>
                <w:spacing w:val="-30"/>
                <w:kern w:val="0"/>
                <w:sz w:val="21"/>
                <w:szCs w:val="21"/>
                <w:lang w:eastAsia="en-US"/>
              </w:rPr>
              <w:t xml:space="preserve"> </w:t>
            </w:r>
            <w:r>
              <w:rPr>
                <w:rFonts w:eastAsia="仿宋" w:cs="Times New Roman"/>
                <w:spacing w:val="16"/>
                <w:kern w:val="0"/>
                <w:sz w:val="21"/>
                <w:szCs w:val="21"/>
                <w:lang w:eastAsia="en-US"/>
              </w:rPr>
              <w:t>大鼠吸入)</w:t>
            </w:r>
            <w:r>
              <w:rPr>
                <w:rFonts w:eastAsia="仿宋" w:cs="Times New Roman"/>
                <w:kern w:val="0"/>
                <w:sz w:val="21"/>
                <w:szCs w:val="21"/>
                <w:lang w:eastAsia="en-US"/>
              </w:rPr>
              <w:t>320mg/m</w:t>
            </w:r>
            <w:r>
              <w:rPr>
                <w:rFonts w:eastAsia="仿宋" w:cs="Times New Roman"/>
                <w:kern w:val="0"/>
                <w:position w:val="10"/>
                <w:sz w:val="21"/>
                <w:szCs w:val="21"/>
                <w:lang w:eastAsia="en-US"/>
              </w:rPr>
              <w:t xml:space="preserve">3 </w:t>
            </w:r>
            <w:r>
              <w:rPr>
                <w:rFonts w:eastAsia="仿宋" w:cs="Times New Roman"/>
                <w:spacing w:val="7"/>
                <w:kern w:val="0"/>
                <w:sz w:val="21"/>
                <w:szCs w:val="21"/>
                <w:lang w:eastAsia="en-US"/>
              </w:rPr>
              <w:t>，2</w:t>
            </w:r>
            <w:r>
              <w:rPr>
                <w:rFonts w:eastAsia="仿宋" w:cs="Times New Roman"/>
                <w:spacing w:val="-31"/>
                <w:kern w:val="0"/>
                <w:sz w:val="21"/>
                <w:szCs w:val="21"/>
                <w:lang w:eastAsia="en-US"/>
              </w:rPr>
              <w:t xml:space="preserve"> </w:t>
            </w:r>
            <w:r>
              <w:rPr>
                <w:rFonts w:eastAsia="仿宋" w:cs="Times New Roman"/>
                <w:spacing w:val="7"/>
                <w:kern w:val="0"/>
                <w:sz w:val="21"/>
                <w:szCs w:val="21"/>
                <w:lang w:eastAsia="en-US"/>
              </w:rPr>
              <w:t>小时</w:t>
            </w:r>
            <w:r>
              <w:rPr>
                <w:rFonts w:eastAsia="仿宋" w:cs="Times New Roman"/>
                <w:kern w:val="0"/>
                <w:sz w:val="21"/>
                <w:szCs w:val="21"/>
                <w:lang w:eastAsia="en-US"/>
              </w:rPr>
              <w:t xml:space="preserve"> (小鼠吸入)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832"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发烟硫酸</w:t>
            </w:r>
          </w:p>
        </w:tc>
        <w:tc>
          <w:tcPr>
            <w:tcW w:w="651" w:type="pct"/>
            <w:vAlign w:val="center"/>
          </w:tcPr>
          <w:p>
            <w:pPr>
              <w:autoSpaceDE w:val="0"/>
              <w:autoSpaceDN w:val="0"/>
              <w:jc w:val="center"/>
              <w:rPr>
                <w:rFonts w:eastAsia="仿宋" w:cs="Times New Roman"/>
                <w:kern w:val="0"/>
                <w:position w:val="-2"/>
                <w:sz w:val="21"/>
                <w:szCs w:val="21"/>
                <w:lang w:eastAsia="en-US"/>
              </w:rPr>
            </w:pPr>
            <w:r>
              <w:rPr>
                <w:rFonts w:eastAsia="仿宋" w:cs="Times New Roman"/>
                <w:kern w:val="0"/>
                <w:sz w:val="21"/>
                <w:szCs w:val="21"/>
                <w:lang w:eastAsia="en-US"/>
              </w:rPr>
              <w:t>H</w:t>
            </w:r>
            <w:r>
              <w:rPr>
                <w:rFonts w:eastAsia="仿宋" w:cs="Times New Roman"/>
                <w:kern w:val="0"/>
                <w:position w:val="-2"/>
                <w:sz w:val="21"/>
                <w:szCs w:val="21"/>
                <w:lang w:eastAsia="en-US"/>
              </w:rPr>
              <w:t>2</w:t>
            </w:r>
            <w:r>
              <w:rPr>
                <w:rFonts w:eastAsia="仿宋" w:cs="Times New Roman"/>
                <w:kern w:val="0"/>
                <w:sz w:val="21"/>
                <w:szCs w:val="21"/>
                <w:lang w:eastAsia="en-US"/>
              </w:rPr>
              <w:t>SO</w:t>
            </w:r>
            <w:r>
              <w:rPr>
                <w:rFonts w:eastAsia="仿宋" w:cs="Times New Roman"/>
                <w:kern w:val="0"/>
                <w:position w:val="-2"/>
                <w:sz w:val="21"/>
                <w:szCs w:val="21"/>
                <w:lang w:eastAsia="en-US"/>
              </w:rPr>
              <w:t>4</w:t>
            </w:r>
            <w:r>
              <w:rPr>
                <w:rFonts w:eastAsia="仿宋" w:cs="Times New Roman"/>
                <w:kern w:val="0"/>
                <w:sz w:val="21"/>
                <w:szCs w:val="21"/>
                <w:lang w:eastAsia="en-US"/>
              </w:rPr>
              <w:t>·XSO</w:t>
            </w:r>
            <w:r>
              <w:rPr>
                <w:rFonts w:eastAsia="仿宋" w:cs="Times New Roman"/>
                <w:kern w:val="0"/>
                <w:position w:val="-2"/>
                <w:sz w:val="21"/>
                <w:szCs w:val="21"/>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分子量：178</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无色或棕色油状稠厚的发烟液体，有强刺激性臭 味 。 相 对 密 度 1.99 。 熔 点 4.0</w:t>
            </w:r>
            <w:r>
              <w:rPr>
                <w:rFonts w:hint="eastAsia" w:ascii="宋体" w:hAnsi="宋体" w:cs="Times New Roman"/>
                <w:kern w:val="0"/>
                <w:sz w:val="21"/>
                <w:szCs w:val="21"/>
                <w:lang w:eastAsia="zh-CN"/>
              </w:rPr>
              <w:t>℃</w:t>
            </w:r>
            <w:r>
              <w:rPr>
                <w:rFonts w:eastAsia="仿宋" w:cs="Times New Roman"/>
                <w:kern w:val="0"/>
                <w:sz w:val="21"/>
                <w:szCs w:val="21"/>
                <w:lang w:eastAsia="zh-CN"/>
              </w:rPr>
              <w:t xml:space="preserve"> ， 沸 点99-161</w:t>
            </w:r>
            <w:r>
              <w:rPr>
                <w:rFonts w:hint="eastAsia" w:ascii="宋体" w:hAnsi="宋体" w:cs="Times New Roman"/>
                <w:kern w:val="0"/>
                <w:sz w:val="21"/>
                <w:szCs w:val="21"/>
                <w:lang w:eastAsia="zh-CN"/>
              </w:rPr>
              <w:t>℃</w:t>
            </w:r>
            <w:r>
              <w:rPr>
                <w:rFonts w:eastAsia="仿宋" w:cs="Times New Roman"/>
                <w:kern w:val="0"/>
                <w:sz w:val="21"/>
                <w:szCs w:val="21"/>
                <w:lang w:eastAsia="zh-CN"/>
              </w:rPr>
              <w:t>。饱和蒸气压 0.13Pa（145.8</w:t>
            </w:r>
            <w:r>
              <w:rPr>
                <w:rFonts w:hint="eastAsia" w:ascii="宋体" w:hAnsi="宋体" w:cs="Times New Roman"/>
                <w:kern w:val="0"/>
                <w:sz w:val="21"/>
                <w:szCs w:val="21"/>
                <w:lang w:eastAsia="zh-CN"/>
              </w:rPr>
              <w:t>℃</w:t>
            </w:r>
            <w:r>
              <w:rPr>
                <w:rFonts w:eastAsia="仿宋" w:cs="Times New Roman"/>
                <w:kern w:val="0"/>
                <w:sz w:val="21"/>
                <w:szCs w:val="21"/>
                <w:lang w:eastAsia="zh-CN"/>
              </w:rPr>
              <w:t>）。稳定性:极度不稳定，易挥发形成硫酸和三氧化硫。</w:t>
            </w:r>
          </w:p>
          <w:p>
            <w:pPr>
              <w:autoSpaceDE w:val="0"/>
              <w:autoSpaceDN w:val="0"/>
              <w:jc w:val="center"/>
              <w:rPr>
                <w:rFonts w:eastAsia="仿宋" w:cs="Times New Roman"/>
                <w:kern w:val="0"/>
                <w:sz w:val="21"/>
                <w:szCs w:val="21"/>
                <w:lang w:eastAsia="zh-CN"/>
              </w:rPr>
            </w:pP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遇水大量放热，可发生沸溅。与易燃物（如苯）和可燃物（如糖、纤维素等）</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接触会发生剧烈反应，甚至引起燃烧。遇电石、高氯酸盐、雷酸盐、硝酸盐、</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苦味酸盐、金属粉末等猛烈反应，发生爆炸或燃烧。能与普通金属发生反应，</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放出氢气而与空气形成爆炸性混合物。有强烈的腐蚀性和吸水性。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急性毒性：LD50：80 mg/kg（大鼠经口）LC50：无资料</w:t>
            </w:r>
          </w:p>
          <w:p>
            <w:pPr>
              <w:autoSpaceDE w:val="0"/>
              <w:autoSpaceDN w:val="0"/>
              <w:jc w:val="center"/>
              <w:rPr>
                <w:rFonts w:eastAsia="仿宋" w:cs="Times New Roman"/>
                <w:kern w:val="0"/>
                <w:sz w:val="21"/>
                <w:szCs w:val="21"/>
                <w:lang w:eastAsia="zh-C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53" w:hRule="exact"/>
        </w:trPr>
        <w:tc>
          <w:tcPr>
            <w:tcW w:w="329"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en-US"/>
              </w:rPr>
              <w:t>烧碱</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NaOH</w:t>
            </w:r>
          </w:p>
          <w:p>
            <w:pPr>
              <w:autoSpaceDE w:val="0"/>
              <w:autoSpaceDN w:val="0"/>
              <w:jc w:val="center"/>
              <w:rPr>
                <w:rFonts w:eastAsia="仿宋" w:cs="Times New Roman"/>
                <w:kern w:val="0"/>
                <w:sz w:val="21"/>
                <w:szCs w:val="21"/>
                <w:lang w:eastAsia="en-US"/>
              </w:rPr>
            </w:pPr>
            <w:r>
              <w:rPr>
                <w:rFonts w:hint="eastAsia" w:eastAsia="仿宋" w:cs="Times New Roman"/>
                <w:kern w:val="0"/>
                <w:sz w:val="21"/>
                <w:szCs w:val="21"/>
                <w:lang w:eastAsia="en-US"/>
              </w:rPr>
              <w:t>分子量：40</w:t>
            </w:r>
          </w:p>
        </w:tc>
        <w:tc>
          <w:tcPr>
            <w:tcW w:w="337"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spacing w:line="243" w:lineRule="exact"/>
              <w:jc w:val="center"/>
              <w:rPr>
                <w:rFonts w:eastAsia="仿宋" w:cs="Times New Roman"/>
                <w:kern w:val="0"/>
                <w:sz w:val="21"/>
                <w:szCs w:val="21"/>
                <w:lang w:eastAsia="zh-CN"/>
              </w:rPr>
            </w:pPr>
            <w:r>
              <w:rPr>
                <w:rFonts w:eastAsia="仿宋" w:cs="Times New Roman"/>
                <w:kern w:val="0"/>
                <w:sz w:val="21"/>
                <w:szCs w:val="21"/>
                <w:lang w:eastAsia="zh-CN"/>
              </w:rPr>
              <w:t>相对密度 2.13。熔点 318</w:t>
            </w:r>
            <w:r>
              <w:rPr>
                <w:rFonts w:hint="eastAsia" w:ascii="宋体" w:hAnsi="宋体" w:cs="Times New Roman"/>
                <w:kern w:val="0"/>
                <w:sz w:val="21"/>
                <w:szCs w:val="21"/>
                <w:lang w:eastAsia="zh-CN"/>
              </w:rPr>
              <w:t>℃</w:t>
            </w:r>
            <w:r>
              <w:rPr>
                <w:rFonts w:eastAsia="仿宋" w:cs="Times New Roman"/>
                <w:kern w:val="0"/>
                <w:sz w:val="21"/>
                <w:szCs w:val="21"/>
                <w:lang w:eastAsia="zh-CN"/>
              </w:rPr>
              <w:t>。沸点 1390</w:t>
            </w:r>
            <w:r>
              <w:rPr>
                <w:rFonts w:hint="eastAsia" w:ascii="宋体" w:hAnsi="宋体" w:cs="Times New Roman"/>
                <w:kern w:val="0"/>
                <w:sz w:val="21"/>
                <w:szCs w:val="21"/>
                <w:lang w:eastAsia="zh-CN"/>
              </w:rPr>
              <w:t>℃</w:t>
            </w:r>
            <w:r>
              <w:rPr>
                <w:rFonts w:eastAsia="仿宋" w:cs="Times New Roman"/>
                <w:kern w:val="0"/>
                <w:sz w:val="21"/>
                <w:szCs w:val="21"/>
                <w:lang w:eastAsia="zh-CN"/>
              </w:rPr>
              <w:t>。溶 于水，并放出大量热。溶于醇、甘油，并能放 出大量热。不溶于乙醚、丙酮。蒸气压  133.3Pa</w:t>
            </w:r>
          </w:p>
          <w:p>
            <w:pPr>
              <w:autoSpaceDE w:val="0"/>
              <w:autoSpaceDN w:val="0"/>
              <w:spacing w:line="243" w:lineRule="exact"/>
              <w:jc w:val="center"/>
              <w:rPr>
                <w:rFonts w:eastAsia="仿宋" w:cs="Times New Roman"/>
                <w:kern w:val="0"/>
                <w:sz w:val="21"/>
                <w:szCs w:val="21"/>
                <w:lang w:eastAsia="zh-CN"/>
              </w:rPr>
            </w:pPr>
          </w:p>
          <w:p>
            <w:pPr>
              <w:autoSpaceDE w:val="0"/>
              <w:autoSpaceDN w:val="0"/>
              <w:spacing w:line="243" w:lineRule="exact"/>
              <w:jc w:val="center"/>
              <w:rPr>
                <w:rFonts w:eastAsia="仿宋" w:cs="Times New Roman"/>
                <w:kern w:val="0"/>
                <w:sz w:val="21"/>
                <w:szCs w:val="21"/>
                <w:lang w:eastAsia="en-US"/>
              </w:rPr>
            </w:pPr>
            <w:r>
              <w:rPr>
                <w:rFonts w:eastAsia="仿宋" w:cs="Times New Roman"/>
                <w:kern w:val="0"/>
                <w:sz w:val="21"/>
                <w:szCs w:val="21"/>
                <w:lang w:eastAsia="en-US"/>
              </w:rPr>
              <w:t>（739</w:t>
            </w:r>
            <w:r>
              <w:rPr>
                <w:rFonts w:hint="eastAsia" w:ascii="宋体" w:hAnsi="宋体" w:cs="Times New Roman"/>
                <w:kern w:val="0"/>
                <w:sz w:val="21"/>
                <w:szCs w:val="21"/>
                <w:lang w:eastAsia="en-US"/>
              </w:rPr>
              <w:t>℃</w:t>
            </w:r>
            <w:r>
              <w:rPr>
                <w:rFonts w:eastAsia="仿宋" w:cs="Times New Roman"/>
                <w:kern w:val="0"/>
                <w:sz w:val="21"/>
                <w:szCs w:val="21"/>
                <w:lang w:eastAsia="en-US"/>
              </w:rPr>
              <w:t>）。</w:t>
            </w:r>
          </w:p>
          <w:p>
            <w:pPr>
              <w:autoSpaceDE w:val="0"/>
              <w:autoSpaceDN w:val="0"/>
              <w:spacing w:line="243" w:lineRule="exact"/>
              <w:jc w:val="center"/>
              <w:rPr>
                <w:rFonts w:eastAsia="仿宋" w:cs="Times New Roman"/>
                <w:kern w:val="0"/>
                <w:sz w:val="21"/>
                <w:szCs w:val="21"/>
                <w:lang w:eastAsia="en-US"/>
              </w:rPr>
            </w:pPr>
          </w:p>
        </w:tc>
        <w:tc>
          <w:tcPr>
            <w:tcW w:w="1254"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zh-CN"/>
              </w:rPr>
              <w:t>不燃，具强腐蚀性、强刺激性，可致人体灼伤。与酸发生中和反应并放热。遇潮时对铝、锌和锡有腐蚀性，并放出易 燃易爆的氢气。本品不会燃烧,  遇水和水蒸气大量放热, 形成腐蚀性溶液。</w:t>
            </w:r>
            <w:r>
              <w:rPr>
                <w:rFonts w:eastAsia="仿宋" w:cs="Times New Roman"/>
                <w:kern w:val="0"/>
                <w:sz w:val="21"/>
                <w:szCs w:val="21"/>
                <w:lang w:eastAsia="en-US"/>
              </w:rPr>
              <w:t>具有强腐蚀性。</w:t>
            </w:r>
          </w:p>
        </w:tc>
        <w:tc>
          <w:tcPr>
            <w:tcW w:w="976" w:type="pct"/>
            <w:vAlign w:val="center"/>
          </w:tcPr>
          <w:p>
            <w:pPr>
              <w:autoSpaceDE w:val="0"/>
              <w:autoSpaceDN w:val="0"/>
              <w:jc w:val="center"/>
              <w:rPr>
                <w:rFonts w:eastAsia="仿宋" w:cs="Times New Roman"/>
                <w:kern w:val="0"/>
                <w:sz w:val="21"/>
                <w:szCs w:val="21"/>
                <w:lang w:eastAsia="zh-CN"/>
              </w:rPr>
            </w:pPr>
            <w:r>
              <w:rPr>
                <w:rFonts w:hint="eastAsia" w:eastAsia="仿宋" w:cs="Times New Roman"/>
                <w:kern w:val="0"/>
                <w:sz w:val="21"/>
                <w:szCs w:val="21"/>
                <w:lang w:eastAsia="zh-CN"/>
              </w:rPr>
              <w:t>家兔经眼：1%重度 刺激。家兔经皮： 50mg/24  小时，重度刺激。</w:t>
            </w:r>
          </w:p>
          <w:p>
            <w:pPr>
              <w:autoSpaceDE w:val="0"/>
              <w:autoSpaceDN w:val="0"/>
              <w:jc w:val="center"/>
              <w:rPr>
                <w:rFonts w:eastAsia="仿宋" w:cs="Times New Roman"/>
                <w:kern w:val="0"/>
                <w:sz w:val="21"/>
                <w:szCs w:val="21"/>
                <w:lang w:eastAsia="zh-C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6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盐酸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无色至微黄色液体。是氯化氢水溶液。工业品 分 为 31% 、 33% 和 36% 三 种 。 相 对 密 度 1.12-1.19。凝固点-17</w:t>
            </w:r>
            <w:r>
              <w:rPr>
                <w:rFonts w:hint="eastAsia" w:ascii="宋体" w:hAnsi="宋体" w:cs="Times New Roman"/>
                <w:kern w:val="0"/>
                <w:sz w:val="21"/>
                <w:szCs w:val="21"/>
                <w:lang w:eastAsia="zh-CN"/>
              </w:rPr>
              <w:t>℃</w:t>
            </w:r>
            <w:r>
              <w:rPr>
                <w:rFonts w:eastAsia="仿宋" w:cs="Times New Roman"/>
                <w:kern w:val="0"/>
                <w:sz w:val="21"/>
                <w:szCs w:val="21"/>
                <w:lang w:eastAsia="zh-CN"/>
              </w:rPr>
              <w:t>-  -62</w:t>
            </w:r>
            <w:r>
              <w:rPr>
                <w:rFonts w:hint="eastAsia" w:ascii="宋体" w:hAnsi="宋体" w:cs="Times New Roman"/>
                <w:kern w:val="0"/>
                <w:sz w:val="21"/>
                <w:szCs w:val="21"/>
                <w:lang w:eastAsia="zh-CN"/>
              </w:rPr>
              <w:t>℃</w:t>
            </w:r>
            <w:r>
              <w:rPr>
                <w:rFonts w:eastAsia="仿宋" w:cs="Times New Roman"/>
                <w:kern w:val="0"/>
                <w:sz w:val="21"/>
                <w:szCs w:val="21"/>
                <w:lang w:eastAsia="zh-CN"/>
              </w:rPr>
              <w:t>。溶于水，水溶液呈酸性。溶于乙醇和乙醚。在常温下易挥发。</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不燃，具强腐蚀性、强刺激性，可致人体灼伤。能与一些活性金属粉末发生反 应,  放出氢气。遇氰化物能产生剧毒的氰化氢气体。与碱发生中合反应，并放出 大量的热。</w:t>
            </w:r>
            <w:r>
              <w:rPr>
                <w:rFonts w:eastAsia="仿宋" w:cs="Times New Roman"/>
                <w:spacing w:val="2"/>
                <w:kern w:val="0"/>
                <w:sz w:val="21"/>
                <w:szCs w:val="21"/>
                <w:lang w:eastAsia="en-US"/>
              </w:rPr>
              <w:t>具有较强的腐蚀性。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LD50900mg/kg(兔经 口)；LC503124ppm， 1 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83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次氯 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NaClO</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分子量：74</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为微黄色液体，有氯的气味。分子量 74.44，熔点-6</w:t>
            </w:r>
            <w:r>
              <w:rPr>
                <w:rFonts w:hint="eastAsia" w:ascii="宋体" w:hAnsi="宋体" w:cs="Times New Roman"/>
                <w:kern w:val="0"/>
                <w:sz w:val="21"/>
                <w:szCs w:val="21"/>
                <w:lang w:eastAsia="zh-CN"/>
              </w:rPr>
              <w:t>℃</w:t>
            </w:r>
            <w:r>
              <w:rPr>
                <w:rFonts w:eastAsia="仿宋" w:cs="Times New Roman"/>
                <w:kern w:val="0"/>
                <w:sz w:val="21"/>
                <w:szCs w:val="21"/>
                <w:lang w:eastAsia="zh-CN"/>
              </w:rPr>
              <w:t>，沸点 102.2</w:t>
            </w:r>
            <w:r>
              <w:rPr>
                <w:rFonts w:hint="eastAsia" w:ascii="宋体" w:hAnsi="宋体" w:cs="Times New Roman"/>
                <w:kern w:val="0"/>
                <w:sz w:val="21"/>
                <w:szCs w:val="21"/>
                <w:lang w:eastAsia="zh-CN"/>
              </w:rPr>
              <w:t>℃</w:t>
            </w:r>
            <w:r>
              <w:rPr>
                <w:rFonts w:eastAsia="仿宋" w:cs="Times New Roman"/>
                <w:kern w:val="0"/>
                <w:sz w:val="21"/>
                <w:szCs w:val="21"/>
                <w:lang w:eastAsia="zh-CN"/>
              </w:rPr>
              <w:t>，相对密度(水=1)1.10，</w:t>
            </w:r>
          </w:p>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溶于水。 碱度不低于 2%-3% 的溶液可存储 10-15 天，碱性较小时分解较快，并放出不稳 定的次氯酸，再分解而成氯和氧，或转变成氯酸盐。</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不燃，具腐蚀性，可致人体灼伤，具致 敏性。受高热分解产生有毒的腐蚀性烟 气。</w:t>
            </w:r>
            <w:r>
              <w:rPr>
                <w:rFonts w:eastAsia="仿宋" w:cs="Times New Roman"/>
                <w:spacing w:val="2"/>
                <w:kern w:val="0"/>
                <w:sz w:val="21"/>
                <w:szCs w:val="21"/>
                <w:lang w:eastAsia="en-US"/>
              </w:rPr>
              <w:t>具有腐蚀性。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LD505800mg/kg( 小 鼠经口)</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54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液氯</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Cl</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分子量：71</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常温下 7.09*105Pa 以上压力时为液体。液态氯 为金黄色。相对密度  3.214。熔点-102</w:t>
            </w:r>
            <w:r>
              <w:rPr>
                <w:rFonts w:hint="eastAsia" w:ascii="宋体" w:hAnsi="宋体" w:cs="Times New Roman"/>
                <w:kern w:val="0"/>
                <w:sz w:val="21"/>
                <w:szCs w:val="21"/>
                <w:lang w:eastAsia="zh-CN"/>
              </w:rPr>
              <w:t>℃</w:t>
            </w:r>
            <w:r>
              <w:rPr>
                <w:rFonts w:eastAsia="仿宋" w:cs="Times New Roman"/>
                <w:kern w:val="0"/>
                <w:sz w:val="21"/>
                <w:szCs w:val="21"/>
                <w:lang w:eastAsia="zh-CN"/>
              </w:rPr>
              <w:t>。沸点-34.6</w:t>
            </w:r>
            <w:r>
              <w:rPr>
                <w:rFonts w:hint="eastAsia" w:ascii="宋体" w:hAnsi="宋体" w:cs="Times New Roman"/>
                <w:kern w:val="0"/>
                <w:sz w:val="21"/>
                <w:szCs w:val="21"/>
                <w:lang w:eastAsia="zh-CN"/>
              </w:rPr>
              <w:t>℃</w:t>
            </w:r>
            <w:r>
              <w:rPr>
                <w:rFonts w:eastAsia="仿宋" w:cs="Times New Roman"/>
                <w:kern w:val="0"/>
                <w:sz w:val="21"/>
                <w:szCs w:val="21"/>
                <w:lang w:eastAsia="zh-CN"/>
              </w:rPr>
              <w:t>。临界温度 144</w:t>
            </w:r>
            <w:r>
              <w:rPr>
                <w:rFonts w:hint="eastAsia" w:ascii="宋体" w:hAnsi="宋体" w:cs="Times New Roman"/>
                <w:kern w:val="0"/>
                <w:sz w:val="21"/>
                <w:szCs w:val="21"/>
                <w:lang w:eastAsia="zh-CN"/>
              </w:rPr>
              <w:t>℃</w:t>
            </w:r>
            <w:r>
              <w:rPr>
                <w:rFonts w:eastAsia="仿宋" w:cs="Times New Roman"/>
                <w:kern w:val="0"/>
                <w:sz w:val="21"/>
                <w:szCs w:val="21"/>
                <w:lang w:eastAsia="zh-CN"/>
              </w:rPr>
              <w:t>。临界压力 7.71*106Pa。 蒸气压 6.40*105Pa（20</w:t>
            </w:r>
            <w:r>
              <w:rPr>
                <w:rFonts w:hint="eastAsia" w:ascii="宋体" w:hAnsi="宋体" w:cs="Times New Roman"/>
                <w:kern w:val="0"/>
                <w:sz w:val="21"/>
                <w:szCs w:val="21"/>
                <w:lang w:eastAsia="zh-CN"/>
              </w:rPr>
              <w:t>℃</w:t>
            </w:r>
            <w:r>
              <w:rPr>
                <w:rFonts w:eastAsia="仿宋" w:cs="Times New Roman"/>
                <w:kern w:val="0"/>
                <w:sz w:val="21"/>
                <w:szCs w:val="21"/>
                <w:lang w:eastAsia="zh-CN"/>
              </w:rPr>
              <w:t>）。蒸气相对密度 2.49。</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本品不会燃烧，但可助燃。一般可燃物大都能在氯气中燃烧，一般易燃气体或 蒸气也都能与氯气形成爆炸性混合物。 氯气能与许多化学品如乙炔、松节油、 乙醚、氨、燃料气、烃类、氢气、金属 粉末等猛烈反应发生爆炸或生成爆炸性 物质。</w:t>
            </w:r>
            <w:r>
              <w:rPr>
                <w:rFonts w:eastAsia="仿宋" w:cs="Times New Roman"/>
                <w:spacing w:val="2"/>
                <w:kern w:val="0"/>
                <w:sz w:val="21"/>
                <w:szCs w:val="21"/>
                <w:lang w:eastAsia="en-US"/>
              </w:rPr>
              <w:t>它几乎对金属和非金属都有腐蚀作用。</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zh-CN"/>
              </w:rPr>
              <w:t>毒性：属高毒类。 是一种强烈的刺激 性气体。</w:t>
            </w:r>
            <w:r>
              <w:rPr>
                <w:rFonts w:eastAsia="仿宋" w:cs="Times New Roman"/>
                <w:kern w:val="0"/>
                <w:sz w:val="21"/>
                <w:szCs w:val="21"/>
                <w:lang w:eastAsia="en-US"/>
              </w:rPr>
              <w:t>急 性 毒 性 LC50850mg/m3，1 小 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116"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氢</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易燃气体</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无色无味气体，熔点-259.2</w:t>
            </w:r>
            <w:r>
              <w:rPr>
                <w:rFonts w:hint="eastAsia" w:ascii="宋体" w:hAnsi="宋体" w:cs="Times New Roman"/>
                <w:kern w:val="0"/>
                <w:sz w:val="21"/>
                <w:szCs w:val="21"/>
                <w:lang w:eastAsia="zh-CN"/>
              </w:rPr>
              <w:t>℃</w:t>
            </w:r>
            <w:r>
              <w:rPr>
                <w:rFonts w:eastAsia="仿宋" w:cs="Times New Roman"/>
                <w:kern w:val="0"/>
                <w:sz w:val="21"/>
                <w:szCs w:val="21"/>
                <w:lang w:eastAsia="zh-CN"/>
              </w:rPr>
              <w:t xml:space="preserve"> 沸点-252.8</w:t>
            </w:r>
            <w:r>
              <w:rPr>
                <w:rFonts w:hint="eastAsia" w:ascii="宋体" w:hAnsi="宋体" w:cs="Times New Roman"/>
                <w:kern w:val="0"/>
                <w:sz w:val="21"/>
                <w:szCs w:val="21"/>
                <w:lang w:eastAsia="zh-CN"/>
              </w:rPr>
              <w:t>℃</w:t>
            </w:r>
            <w:r>
              <w:rPr>
                <w:rFonts w:eastAsia="仿宋" w:cs="Times New Roman"/>
                <w:kern w:val="0"/>
                <w:sz w:val="21"/>
                <w:szCs w:val="21"/>
                <w:lang w:eastAsia="zh-CN"/>
              </w:rPr>
              <w:t>， 蒸汽压 13.33kPa/-257.9</w:t>
            </w:r>
            <w:r>
              <w:rPr>
                <w:rFonts w:hint="eastAsia" w:ascii="宋体" w:hAnsi="宋体" w:cs="Times New Roman"/>
                <w:kern w:val="0"/>
                <w:sz w:val="21"/>
                <w:szCs w:val="21"/>
                <w:lang w:eastAsia="zh-CN"/>
              </w:rPr>
              <w:t>℃</w:t>
            </w:r>
            <w:r>
              <w:rPr>
                <w:rFonts w:eastAsia="仿宋" w:cs="Times New Roman"/>
                <w:kern w:val="0"/>
                <w:sz w:val="21"/>
                <w:szCs w:val="21"/>
                <w:lang w:eastAsia="zh-CN"/>
              </w:rPr>
              <w:t xml:space="preserve"> 闪点&lt;-50</w:t>
            </w:r>
            <w:r>
              <w:rPr>
                <w:rFonts w:hint="eastAsia" w:ascii="宋体" w:hAnsi="宋体" w:cs="Times New Roman"/>
                <w:kern w:val="0"/>
                <w:sz w:val="21"/>
                <w:szCs w:val="21"/>
                <w:lang w:eastAsia="zh-CN"/>
              </w:rPr>
              <w:t>℃</w:t>
            </w:r>
            <w:r>
              <w:rPr>
                <w:rFonts w:eastAsia="仿宋" w:cs="Times New Roman"/>
                <w:kern w:val="0"/>
                <w:sz w:val="21"/>
                <w:szCs w:val="21"/>
                <w:lang w:eastAsia="zh-CN"/>
              </w:rPr>
              <w:t>，不溶于 水 ， 不 溶 于 乙 醇 、 乙 醚 ， 相 对 密 度 ( 水=1)0.07(-252</w:t>
            </w:r>
            <w:r>
              <w:rPr>
                <w:rFonts w:hint="eastAsia" w:ascii="宋体" w:hAnsi="宋体" w:cs="Times New Roman"/>
                <w:kern w:val="0"/>
                <w:sz w:val="21"/>
                <w:szCs w:val="21"/>
                <w:lang w:eastAsia="zh-CN"/>
              </w:rPr>
              <w:t>℃</w:t>
            </w:r>
            <w:r>
              <w:rPr>
                <w:rFonts w:eastAsia="仿宋" w:cs="Times New Roman"/>
                <w:kern w:val="0"/>
                <w:sz w:val="21"/>
                <w:szCs w:val="21"/>
                <w:lang w:eastAsia="zh-CN"/>
              </w:rPr>
              <w:t>)；相对密度(空气=1)0.07，用于合成氨和甲醇等，石油精制，有机物氢化及火 箭燃料</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危险特性：与空气混合能形成爆炸性混合物，遇热或明火即会发生爆炸。气体 比空气轻，在室内使用和储存时，漏气 上升滞留屋顶不易排出，遇火星会引起 爆炸。氢气与氟、氯、溴等卤素会剧烈 反应。</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燃烧(分解)产物：水。</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5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氯化氢</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无色有刺激性气味的气体，分子量 36.46，蒸汽压4225.6kPa(20</w:t>
            </w:r>
            <w:r>
              <w:rPr>
                <w:rFonts w:hint="eastAsia" w:ascii="宋体" w:hAnsi="宋体" w:cs="Times New Roman"/>
                <w:kern w:val="0"/>
                <w:sz w:val="21"/>
                <w:szCs w:val="21"/>
                <w:lang w:eastAsia="zh-CN"/>
              </w:rPr>
              <w:t>℃</w:t>
            </w:r>
            <w:r>
              <w:rPr>
                <w:rFonts w:eastAsia="仿宋" w:cs="Times New Roman"/>
                <w:kern w:val="0"/>
                <w:sz w:val="21"/>
                <w:szCs w:val="21"/>
                <w:lang w:eastAsia="zh-CN"/>
              </w:rPr>
              <w:t>) ， 熔 点 -114.2</w:t>
            </w:r>
            <w:r>
              <w:rPr>
                <w:rFonts w:hint="eastAsia" w:ascii="宋体" w:hAnsi="宋体" w:cs="Times New Roman"/>
                <w:kern w:val="0"/>
                <w:sz w:val="21"/>
                <w:szCs w:val="21"/>
                <w:lang w:eastAsia="zh-CN"/>
              </w:rPr>
              <w:t>℃</w:t>
            </w:r>
            <w:r>
              <w:rPr>
                <w:rFonts w:eastAsia="仿宋" w:cs="Times New Roman"/>
                <w:kern w:val="0"/>
                <w:sz w:val="21"/>
                <w:szCs w:val="21"/>
                <w:lang w:eastAsia="zh-CN"/>
              </w:rPr>
              <w:t xml:space="preserve"> 沸 点 ：-85.0</w:t>
            </w:r>
            <w:r>
              <w:rPr>
                <w:rFonts w:hint="eastAsia" w:ascii="宋体" w:hAnsi="宋体" w:cs="Times New Roman"/>
                <w:kern w:val="0"/>
                <w:sz w:val="21"/>
                <w:szCs w:val="21"/>
                <w:lang w:eastAsia="zh-CN"/>
              </w:rPr>
              <w:t>℃</w:t>
            </w:r>
            <w:r>
              <w:rPr>
                <w:rFonts w:eastAsia="仿宋" w:cs="Times New Roman"/>
                <w:kern w:val="0"/>
                <w:sz w:val="21"/>
                <w:szCs w:val="21"/>
                <w:lang w:eastAsia="zh-CN"/>
              </w:rPr>
              <w:t>，易溶于水，相对密度(水=1)1.19；相 对密度(空气=1)1.27</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无水氯化氢无腐蚀性，但遇水时有强腐 蚀性。能与一些活性金属粉末发生反应， 放出氢气。遇氰化物能产生居毒的氰化 氢气体。</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LD50400mg/kg(兔经 口)</w:t>
            </w:r>
            <w:r>
              <w:rPr>
                <w:rFonts w:eastAsia="仿宋" w:cs="Times New Roman"/>
                <w:kern w:val="0"/>
                <w:sz w:val="21"/>
                <w:szCs w:val="21"/>
                <w:lang w:eastAsia="en-US"/>
              </w:rPr>
              <w:tab/>
            </w:r>
            <w:r>
              <w:rPr>
                <w:rFonts w:eastAsia="仿宋" w:cs="Times New Roman"/>
                <w:kern w:val="0"/>
                <w:sz w:val="21"/>
                <w:szCs w:val="21"/>
                <w:lang w:eastAsia="en-US"/>
              </w:rPr>
              <w:t>； LC504600mg/m3 ， 1小时(大鼠吸入)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693"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氯磺酸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HClO</w:t>
            </w:r>
            <w:r>
              <w:rPr>
                <w:rFonts w:eastAsia="仿宋" w:cs="Times New Roman"/>
                <w:kern w:val="0"/>
                <w:sz w:val="21"/>
                <w:szCs w:val="21"/>
                <w:vertAlign w:val="subscript"/>
                <w:lang w:eastAsia="en-US"/>
              </w:rPr>
              <w:t>3</w:t>
            </w:r>
            <w:r>
              <w:rPr>
                <w:rFonts w:eastAsia="仿宋" w:cs="Times New Roman"/>
                <w:kern w:val="0"/>
                <w:sz w:val="21"/>
                <w:szCs w:val="21"/>
                <w:lang w:eastAsia="en-US"/>
              </w:rPr>
              <w:t>S</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分子量：116.5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 蚀 性 物 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无色半油状液体，有极浓的刺激性气味。熔点-80</w:t>
            </w:r>
            <w:r>
              <w:rPr>
                <w:rFonts w:hint="eastAsia" w:ascii="宋体" w:hAnsi="宋体" w:cs="Times New Roman"/>
                <w:kern w:val="0"/>
                <w:sz w:val="21"/>
                <w:szCs w:val="21"/>
                <w:lang w:eastAsia="zh-CN"/>
              </w:rPr>
              <w:t>℃</w:t>
            </w:r>
            <w:r>
              <w:rPr>
                <w:rFonts w:eastAsia="仿宋" w:cs="Times New Roman"/>
                <w:kern w:val="0"/>
                <w:sz w:val="21"/>
                <w:szCs w:val="21"/>
                <w:lang w:eastAsia="zh-CN"/>
              </w:rPr>
              <w:t>，沸点 151</w:t>
            </w:r>
            <w:r>
              <w:rPr>
                <w:rFonts w:hint="eastAsia" w:ascii="宋体" w:hAnsi="宋体" w:cs="Times New Roman"/>
                <w:kern w:val="0"/>
                <w:sz w:val="21"/>
                <w:szCs w:val="21"/>
                <w:lang w:eastAsia="zh-CN"/>
              </w:rPr>
              <w:t>℃</w:t>
            </w:r>
            <w:r>
              <w:rPr>
                <w:rFonts w:eastAsia="仿宋" w:cs="Times New Roman"/>
                <w:kern w:val="0"/>
                <w:sz w:val="21"/>
                <w:szCs w:val="21"/>
                <w:lang w:eastAsia="zh-CN"/>
              </w:rPr>
              <w:t>，不溶于二硫化碳、四氯化 碳，溶于氯仿、乙酸。</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助燃，具强腐蚀性、强刺激性，可致人体灼伤。强氧化剂。遇水猛烈分解,  产生大量的热和浓烟,  甚至爆炸。在潮湿空气中</w:t>
            </w:r>
          </w:p>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与金属接触，能腐蚀金属并放出氢气，容 易燃烧爆炸。与易燃物（如苯）和可燃物（如糖、纤维素等）接触会发生剧烈反应甚至引起燃烧。</w:t>
            </w:r>
            <w:r>
              <w:rPr>
                <w:rFonts w:eastAsia="仿宋" w:cs="Times New Roman"/>
                <w:spacing w:val="2"/>
                <w:kern w:val="0"/>
                <w:sz w:val="21"/>
                <w:szCs w:val="21"/>
                <w:lang w:eastAsia="en-US"/>
              </w:rPr>
              <w:t>具有强腐蚀性。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847"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氮气</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分子量：28</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无色无臭气体。熔点-209.8</w:t>
            </w:r>
            <w:r>
              <w:rPr>
                <w:rFonts w:hint="eastAsia" w:ascii="宋体" w:hAnsi="宋体" w:cs="Times New Roman"/>
                <w:kern w:val="0"/>
                <w:sz w:val="21"/>
                <w:szCs w:val="21"/>
                <w:lang w:eastAsia="zh-CN"/>
              </w:rPr>
              <w:t>℃</w:t>
            </w:r>
            <w:r>
              <w:rPr>
                <w:rFonts w:eastAsia="仿宋" w:cs="Times New Roman"/>
                <w:kern w:val="0"/>
                <w:sz w:val="21"/>
                <w:szCs w:val="21"/>
                <w:lang w:eastAsia="zh-CN"/>
              </w:rPr>
              <w:t>，沸点-195.6</w:t>
            </w:r>
            <w:r>
              <w:rPr>
                <w:rFonts w:hint="eastAsia" w:ascii="宋体" w:hAnsi="宋体" w:cs="Times New Roman"/>
                <w:kern w:val="0"/>
                <w:sz w:val="21"/>
                <w:szCs w:val="21"/>
                <w:lang w:eastAsia="zh-CN"/>
              </w:rPr>
              <w:t>℃</w:t>
            </w:r>
            <w:r>
              <w:rPr>
                <w:rFonts w:eastAsia="仿宋" w:cs="Times New Roman"/>
                <w:kern w:val="0"/>
                <w:sz w:val="21"/>
                <w:szCs w:val="21"/>
                <w:lang w:eastAsia="zh-CN"/>
              </w:rPr>
              <w:t>，微溶于水、乙醇。</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不燃，若遇高热，容器内压增大，有开裂和爆炸的危险。空气中氮气含量过高，使吸入气氧分压下降，引起缺氧窒息。</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277"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亚硫酸钠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w:t>
            </w:r>
            <w:r>
              <w:rPr>
                <w:rFonts w:eastAsia="仿宋" w:cs="Times New Roman"/>
                <w:kern w:val="0"/>
                <w:sz w:val="21"/>
                <w:szCs w:val="21"/>
                <w:vertAlign w:val="subscript"/>
                <w:lang w:eastAsia="en-US"/>
              </w:rPr>
              <w:t>2</w:t>
            </w:r>
            <w:r>
              <w:rPr>
                <w:rFonts w:eastAsia="仿宋" w:cs="Times New Roman"/>
                <w:kern w:val="0"/>
                <w:sz w:val="21"/>
                <w:szCs w:val="21"/>
                <w:lang w:eastAsia="en-US"/>
              </w:rPr>
              <w:t>SO</w:t>
            </w:r>
            <w:r>
              <w:rPr>
                <w:rFonts w:eastAsia="仿宋" w:cs="Times New Roman"/>
                <w:kern w:val="0"/>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分子量：126</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无色、单斜晶体或粉末。无色、单斜晶体或粉末。</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不燃，具刺激性。未有特殊的燃烧爆炸特性。受高热分解产生有毒的硫化物烟气。</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84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纯碱</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（碳酸钠）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w:t>
            </w:r>
            <w:r>
              <w:rPr>
                <w:rFonts w:eastAsia="仿宋" w:cs="Times New Roman"/>
                <w:kern w:val="0"/>
                <w:sz w:val="21"/>
                <w:szCs w:val="21"/>
                <w:vertAlign w:val="subscript"/>
                <w:lang w:eastAsia="en-US"/>
              </w:rPr>
              <w:t>2</w:t>
            </w:r>
            <w:r>
              <w:rPr>
                <w:rFonts w:eastAsia="仿宋" w:cs="Times New Roman"/>
                <w:kern w:val="0"/>
                <w:sz w:val="21"/>
                <w:szCs w:val="21"/>
                <w:lang w:eastAsia="en-US"/>
              </w:rPr>
              <w:t>CO</w:t>
            </w:r>
            <w:r>
              <w:rPr>
                <w:rFonts w:eastAsia="仿宋" w:cs="Times New Roman"/>
                <w:kern w:val="0"/>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分子量：106</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纯品是白色粉末或细粒，熔点 851</w:t>
            </w:r>
            <w:r>
              <w:rPr>
                <w:rFonts w:hint="eastAsia" w:ascii="宋体" w:hAnsi="宋体" w:cs="Times New Roman"/>
                <w:kern w:val="0"/>
                <w:sz w:val="21"/>
                <w:szCs w:val="21"/>
                <w:lang w:eastAsia="zh-CN"/>
              </w:rPr>
              <w:t>℃</w:t>
            </w:r>
            <w:r>
              <w:rPr>
                <w:rFonts w:eastAsia="仿宋" w:cs="Times New Roman"/>
                <w:kern w:val="0"/>
                <w:sz w:val="21"/>
                <w:szCs w:val="21"/>
                <w:lang w:eastAsia="zh-CN"/>
              </w:rPr>
              <w:t>。易溶于 水，微溶于无水乙醇，不溶于丙醇。</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具有刺激性和腐蚀性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急性毒性： LD50：</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4090 mg/kg(大鼠经 口) LC50：2300mg/m3，2 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39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双氧水</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sz w:val="21"/>
                <w:szCs w:val="21"/>
                <w:vertAlign w:val="subscript"/>
                <w:lang w:eastAsia="en-US"/>
              </w:rPr>
              <w:t>2</w:t>
            </w:r>
            <w:r>
              <w:rPr>
                <w:rFonts w:eastAsia="仿宋" w:cs="Times New Roman"/>
                <w:kern w:val="0"/>
                <w:sz w:val="21"/>
                <w:szCs w:val="21"/>
                <w:lang w:eastAsia="en-US"/>
              </w:rPr>
              <w:t>O</w:t>
            </w:r>
            <w:r>
              <w:rPr>
                <w:rFonts w:eastAsia="仿宋" w:cs="Times New Roman"/>
                <w:kern w:val="0"/>
                <w:sz w:val="21"/>
                <w:szCs w:val="21"/>
                <w:vertAlign w:val="subscript"/>
                <w:lang w:eastAsia="en-US"/>
              </w:rPr>
              <w:t>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爆炸性强氧化剂</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水溶液为无色透明液体，溶于水、醇、乙醚，不溶于苯、石油醚；纯过氧化氢是淡蓝色的粘 稠液体，熔点-0.43  °C，沸点 150.2 °C，纯的过氧化氢其分子构型会改变，所以熔沸点也会发生变化。</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助燃，具有刺激性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LD50 4060mg/kg</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（大鼠经皮）；LC50 2000mg/m3，4 小时</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855"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液氨</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NH</w:t>
            </w:r>
            <w:r>
              <w:rPr>
                <w:rFonts w:eastAsia="仿宋" w:cs="Times New Roman"/>
                <w:kern w:val="0"/>
                <w:sz w:val="21"/>
                <w:szCs w:val="21"/>
                <w:vertAlign w:val="subscript"/>
                <w:lang w:eastAsia="en-US"/>
              </w:rPr>
              <w:t>3</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无色的液体，熔点-77.7  °C，沸点-33.4 °C，溶于水。</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LD50：0.15mg/kg</w:t>
            </w:r>
          </w:p>
        </w:tc>
      </w:tr>
    </w:tbl>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82" w:name="_Toc15612"/>
      <w:r>
        <w:rPr>
          <w:rFonts w:hint="eastAsia" w:ascii="Times New Roman" w:hAnsi="Times New Roman" w:eastAsia="仿宋_GB2312" w:cs="Times New Roman"/>
          <w:color w:val="auto"/>
          <w:kern w:val="2"/>
          <w:sz w:val="24"/>
          <w:szCs w:val="24"/>
          <w:lang w:val="en-US" w:eastAsia="zh-CN" w:bidi="ar-SA"/>
        </w:rPr>
        <w:t>2.5.4生产工艺</w:t>
      </w:r>
      <w:bookmarkEnd w:id="82"/>
    </w:p>
    <w:p>
      <w:pPr>
        <w:spacing w:line="360" w:lineRule="auto"/>
        <w:ind w:firstLine="480" w:firstLineChars="200"/>
        <w:rPr>
          <w:rFonts w:eastAsia="仿宋_GB2312" w:cs="Times New Roman"/>
        </w:rPr>
      </w:pPr>
      <w:r>
        <w:rPr>
          <w:rFonts w:hint="eastAsia" w:eastAsia="仿宋_GB2312" w:cs="Times New Roman"/>
        </w:rPr>
        <w:t>公司主要生产内容为硫磺制酸，氯系列产品，氯磺酸及余热发电。</w:t>
      </w:r>
    </w:p>
    <w:p>
      <w:pPr>
        <w:spacing w:line="360" w:lineRule="auto"/>
        <w:ind w:firstLine="482" w:firstLineChars="200"/>
        <w:rPr>
          <w:rFonts w:eastAsia="仿宋_GB2312" w:cs="Times New Roman"/>
          <w:b/>
        </w:rPr>
      </w:pPr>
      <w:r>
        <w:rPr>
          <w:rFonts w:hint="eastAsia" w:eastAsia="仿宋_GB2312" w:cs="Times New Roman"/>
          <w:b/>
        </w:rPr>
        <w:t>1．硫酸生产</w:t>
      </w:r>
    </w:p>
    <w:p>
      <w:pPr>
        <w:spacing w:line="360" w:lineRule="auto"/>
        <w:ind w:firstLine="480" w:firstLineChars="200"/>
        <w:rPr>
          <w:rFonts w:eastAsia="仿宋_GB2312" w:cs="Times New Roman"/>
        </w:rPr>
      </w:pPr>
      <w:r>
        <w:rPr>
          <w:rFonts w:hint="eastAsia" w:eastAsia="仿宋_GB2312" w:cs="Times New Roman"/>
        </w:rPr>
        <w:t>（1）工艺原理：主要工艺步骤包括硫磺（S）在空气中燃烧形成二氧化硫（SO</w:t>
      </w:r>
      <w:r>
        <w:rPr>
          <w:rFonts w:hint="eastAsia" w:eastAsia="仿宋_GB2312" w:cs="Times New Roman"/>
          <w:vertAlign w:val="subscript"/>
        </w:rPr>
        <w:t>2</w:t>
      </w:r>
      <w:r>
        <w:rPr>
          <w:rFonts w:hint="eastAsia" w:eastAsia="仿宋_GB2312" w:cs="Times New Roman"/>
        </w:rPr>
        <w:t>），二氧化硫和氧气（O</w:t>
      </w:r>
      <w:r>
        <w:rPr>
          <w:rFonts w:hint="eastAsia" w:eastAsia="仿宋_GB2312" w:cs="Times New Roman"/>
          <w:vertAlign w:val="subscript"/>
        </w:rPr>
        <w:t>2</w:t>
      </w:r>
      <w:r>
        <w:rPr>
          <w:rFonts w:hint="eastAsia" w:eastAsia="仿宋_GB2312" w:cs="Times New Roman"/>
        </w:rPr>
        <w:t>）结合生成三氧化硫（SO</w:t>
      </w:r>
      <w:r>
        <w:rPr>
          <w:rFonts w:hint="eastAsia" w:eastAsia="仿宋_GB2312" w:cs="Times New Roman"/>
          <w:vertAlign w:val="subscript"/>
        </w:rPr>
        <w:t>3</w:t>
      </w:r>
      <w:r>
        <w:rPr>
          <w:rFonts w:hint="eastAsia" w:eastAsia="仿宋_GB2312" w:cs="Times New Roman"/>
        </w:rPr>
        <w:t>），SO</w:t>
      </w:r>
      <w:r>
        <w:rPr>
          <w:rFonts w:hint="eastAsia" w:eastAsia="仿宋_GB2312" w:cs="Times New Roman"/>
          <w:vertAlign w:val="subscript"/>
        </w:rPr>
        <w:t>3</w:t>
      </w:r>
      <w:r>
        <w:rPr>
          <w:rFonts w:hint="eastAsia" w:eastAsia="仿宋_GB2312" w:cs="Times New Roman"/>
        </w:rPr>
        <w:t>再结合水分（H</w:t>
      </w:r>
      <w:r>
        <w:rPr>
          <w:rFonts w:hint="eastAsia" w:eastAsia="仿宋_GB2312" w:cs="Times New Roman"/>
          <w:vertAlign w:val="subscript"/>
        </w:rPr>
        <w:t>2</w:t>
      </w:r>
      <w:r>
        <w:rPr>
          <w:rFonts w:hint="eastAsia" w:eastAsia="仿宋_GB2312" w:cs="Times New Roman"/>
        </w:rPr>
        <w:t>O）形成硫酸（H</w:t>
      </w:r>
      <w:r>
        <w:rPr>
          <w:rFonts w:hint="eastAsia" w:eastAsia="仿宋_GB2312" w:cs="Times New Roman"/>
          <w:vertAlign w:val="subscript"/>
        </w:rPr>
        <w:t>2</w:t>
      </w:r>
      <w:r>
        <w:rPr>
          <w:rFonts w:hint="eastAsia" w:eastAsia="仿宋_GB2312" w:cs="Times New Roman"/>
        </w:rPr>
        <w:t>SO</w:t>
      </w:r>
      <w:r>
        <w:rPr>
          <w:rFonts w:hint="eastAsia" w:eastAsia="仿宋_GB2312" w:cs="Times New Roman"/>
          <w:vertAlign w:val="subscript"/>
        </w:rPr>
        <w:t>4</w:t>
      </w:r>
      <w:r>
        <w:rPr>
          <w:rFonts w:hint="eastAsia" w:eastAsia="仿宋_GB2312" w:cs="Times New Roman"/>
        </w:rPr>
        <w:t>）。以下为化学反应方程式：</w:t>
      </w:r>
    </w:p>
    <w:p>
      <w:pPr>
        <w:spacing w:line="360" w:lineRule="auto"/>
        <w:jc w:val="center"/>
        <w:rPr>
          <w:rFonts w:eastAsia="仿宋_GB2312" w:cs="Times New Roman"/>
        </w:rPr>
      </w:pPr>
      <w:r>
        <w:rPr>
          <w:rFonts w:hint="eastAsia" w:eastAsia="仿宋_GB2312" w:cs="Times New Roman"/>
        </w:rPr>
        <w:t>S + O</w:t>
      </w:r>
      <w:r>
        <w:rPr>
          <w:rFonts w:hint="eastAsia" w:eastAsia="仿宋_GB2312" w:cs="Times New Roman"/>
          <w:vertAlign w:val="subscript"/>
        </w:rPr>
        <w:t>2</w:t>
      </w:r>
      <w:r>
        <w:rPr>
          <w:rFonts w:hint="eastAsia" w:eastAsia="仿宋_GB2312" w:cs="Times New Roman"/>
        </w:rPr>
        <w:t>→SO</w:t>
      </w:r>
      <w:r>
        <w:rPr>
          <w:rFonts w:hint="eastAsia" w:eastAsia="仿宋_GB2312" w:cs="Times New Roman"/>
          <w:vertAlign w:val="subscript"/>
        </w:rPr>
        <w:t>2</w:t>
      </w:r>
      <w:r>
        <w:rPr>
          <w:rFonts w:hint="eastAsia" w:eastAsia="仿宋_GB2312" w:cs="Times New Roman"/>
        </w:rPr>
        <w:t>； SO</w:t>
      </w:r>
      <w:r>
        <w:rPr>
          <w:rFonts w:hint="eastAsia" w:eastAsia="仿宋_GB2312" w:cs="Times New Roman"/>
          <w:vertAlign w:val="subscript"/>
        </w:rPr>
        <w:t>2</w:t>
      </w:r>
      <w:r>
        <w:rPr>
          <w:rFonts w:hint="eastAsia" w:eastAsia="仿宋_GB2312" w:cs="Times New Roman"/>
        </w:rPr>
        <w:t xml:space="preserve"> + 1/2 O</w:t>
      </w:r>
      <w:r>
        <w:rPr>
          <w:rFonts w:hint="eastAsia" w:eastAsia="仿宋_GB2312" w:cs="Times New Roman"/>
          <w:vertAlign w:val="subscript"/>
        </w:rPr>
        <w:t>2</w:t>
      </w:r>
      <w:r>
        <w:rPr>
          <w:rFonts w:hint="eastAsia" w:eastAsia="仿宋_GB2312" w:cs="Times New Roman"/>
        </w:rPr>
        <w:t>→SO</w:t>
      </w:r>
      <w:r>
        <w:rPr>
          <w:rFonts w:hint="eastAsia" w:eastAsia="仿宋_GB2312" w:cs="Times New Roman"/>
          <w:vertAlign w:val="subscript"/>
        </w:rPr>
        <w:t>3</w:t>
      </w:r>
      <w:r>
        <w:rPr>
          <w:rFonts w:hint="eastAsia" w:eastAsia="仿宋_GB2312" w:cs="Times New Roman"/>
        </w:rPr>
        <w:t>； SO</w:t>
      </w:r>
      <w:r>
        <w:rPr>
          <w:rFonts w:hint="eastAsia" w:eastAsia="仿宋_GB2312" w:cs="Times New Roman"/>
          <w:vertAlign w:val="subscript"/>
        </w:rPr>
        <w:t>3</w:t>
      </w:r>
      <w:r>
        <w:rPr>
          <w:rFonts w:hint="eastAsia" w:eastAsia="仿宋_GB2312" w:cs="Times New Roman"/>
        </w:rPr>
        <w:t xml:space="preserve"> + H</w:t>
      </w:r>
      <w:r>
        <w:rPr>
          <w:rFonts w:hint="eastAsia" w:eastAsia="仿宋_GB2312" w:cs="Times New Roman"/>
          <w:vertAlign w:val="subscript"/>
        </w:rPr>
        <w:t>2</w:t>
      </w:r>
      <w:r>
        <w:rPr>
          <w:rFonts w:hint="eastAsia" w:eastAsia="仿宋_GB2312" w:cs="Times New Roman"/>
        </w:rPr>
        <w:t>O→H</w:t>
      </w:r>
      <w:r>
        <w:rPr>
          <w:rFonts w:hint="eastAsia" w:eastAsia="仿宋_GB2312" w:cs="Times New Roman"/>
          <w:vertAlign w:val="subscript"/>
        </w:rPr>
        <w:t>2</w:t>
      </w:r>
      <w:r>
        <w:rPr>
          <w:rFonts w:hint="eastAsia" w:eastAsia="仿宋_GB2312" w:cs="Times New Roman"/>
        </w:rPr>
        <w:t>SO</w:t>
      </w:r>
      <w:r>
        <w:rPr>
          <w:rFonts w:hint="eastAsia" w:eastAsia="仿宋_GB2312" w:cs="Times New Roman"/>
          <w:vertAlign w:val="subscript"/>
        </w:rPr>
        <w:t>4</w:t>
      </w:r>
    </w:p>
    <w:p>
      <w:pPr>
        <w:spacing w:line="360" w:lineRule="auto"/>
        <w:ind w:firstLine="480" w:firstLineChars="200"/>
        <w:rPr>
          <w:rFonts w:eastAsia="仿宋_GB2312" w:cs="Times New Roman"/>
        </w:rPr>
      </w:pPr>
      <w:r>
        <w:rPr>
          <w:rFonts w:hint="eastAsia" w:eastAsia="仿宋_GB2312" w:cs="Times New Roman"/>
        </w:rPr>
        <w:t>（2）工艺流程及说明</w:t>
      </w:r>
    </w:p>
    <w:p>
      <w:pPr>
        <w:spacing w:line="360" w:lineRule="auto"/>
        <w:ind w:firstLine="480" w:firstLineChars="200"/>
        <w:rPr>
          <w:rFonts w:eastAsia="仿宋_GB2312" w:cs="Times New Roman"/>
        </w:rPr>
      </w:pPr>
      <w:r>
        <w:rPr>
          <w:rFonts w:hint="eastAsia" w:eastAsia="仿宋_GB2312" w:cs="Times New Roman"/>
        </w:rPr>
        <w:t>硫磺制酸所用的液体硫磺均由船运至码头，用泵输送至硫磺槽存放，用0.7MPa的蒸汽间接加热或保温，使硫磺始终保持液态。</w:t>
      </w:r>
    </w:p>
    <w:p>
      <w:pPr>
        <w:spacing w:line="360" w:lineRule="auto"/>
        <w:ind w:firstLine="480" w:firstLineChars="200"/>
        <w:rPr>
          <w:rFonts w:eastAsia="仿宋_GB2312" w:cs="Times New Roman"/>
        </w:rPr>
      </w:pPr>
      <w:r>
        <w:rPr>
          <w:rFonts w:hint="eastAsia" w:eastAsia="仿宋_GB2312" w:cs="Times New Roman"/>
        </w:rPr>
        <w:t>使用时用泵打入焚硫炉。在焚硫炉内硫磺经硫磺喷枪雾化后，在经过过滤干燥的空气中燃烧，产生的二氧化硫气体。离开焚硫炉的二氧化硫气体经过废热锅炉换热后，进入转化器(采用“3＋1”两次转化)进行转化。</w:t>
      </w:r>
    </w:p>
    <w:p>
      <w:pPr>
        <w:spacing w:line="360" w:lineRule="auto"/>
        <w:ind w:firstLine="480" w:firstLineChars="200"/>
        <w:rPr>
          <w:rFonts w:eastAsia="仿宋_GB2312" w:cs="Times New Roman"/>
        </w:rPr>
      </w:pPr>
      <w:r>
        <w:rPr>
          <w:rFonts w:hint="eastAsia" w:eastAsia="仿宋_GB2312" w:cs="Times New Roman"/>
        </w:rPr>
        <w:t>离开废热锅炉后的炉气首先进入转化器一段，在催化剂的作用下，二氧化硫部分转化成三氧化硫。出转化器一段的气体经高温过热换热器换热后进入转化器二段进行转化；出转化器二段的气体进入热热换热器换热后再进入转化器三段进行转化，出转化器三段的气体经冷热换热器换热和省煤器后进入HRS吸收塔（HRS：Heat Recovery System 热回收系统），吸收其中的三氧化硫得99.5%硫酸，吸收酸液通过HRS锅炉进行热回收。出HRS吸收塔的气体经塔顶除雾器除去酸雾后进入转化器四段进行二次转化，二次转化后的气体经低温过热器和省煤器回收热能后，进入最终吸收塔被98.5%硫酸吸收，尾气（G1-1）经纤维除雾器除去酸雾后，到脱硫装置，经双氧水脱硫后，再经烟囱（100m）放空。</w:t>
      </w:r>
    </w:p>
    <w:p>
      <w:pPr>
        <w:spacing w:line="360" w:lineRule="auto"/>
        <w:ind w:firstLine="480" w:firstLineChars="200"/>
        <w:rPr>
          <w:rFonts w:eastAsia="仿宋_GB2312" w:cs="Times New Roman"/>
        </w:rPr>
      </w:pPr>
      <w:r>
        <w:rPr>
          <w:rFonts w:hint="eastAsia" w:eastAsia="仿宋_GB2312" w:cs="Times New Roman"/>
        </w:rPr>
        <w:t>硫磺制酸装置中有大量的高、中温余热以及低温位余热可以回收，本扩建项目中，硫酸废热系统可从焚硫炉、转化一段、转化三段、转化四段出口炉气中回收热量，并采用HRS技术从干吸收工段回收低温热余热。</w:t>
      </w:r>
    </w:p>
    <w:p>
      <w:pPr>
        <w:spacing w:line="360" w:lineRule="auto"/>
        <w:ind w:firstLine="480" w:firstLineChars="200"/>
        <w:rPr>
          <w:rFonts w:eastAsia="仿宋_GB2312" w:cs="Times New Roman"/>
        </w:rPr>
      </w:pPr>
      <w:r>
        <w:rPr>
          <w:rFonts w:hint="eastAsia" w:eastAsia="仿宋_GB2312" w:cs="Times New Roman"/>
        </w:rPr>
        <w:t>对焚硫转化工段中产生的高、中温位余热，设置了一套高压废热锅炉余热回收系统，产6.21MPa(g)、482℃高压过热蒸汽158t/h。具体配置方式为：在焚硫炉后设置一台火管式废热锅炉，在转化三段出口设置一台省煤器，在转化四段出口设置一台省煤器及低温过热器，在转化一段出口设置一台高温过热器。</w:t>
      </w:r>
    </w:p>
    <w:p>
      <w:pPr>
        <w:spacing w:line="360" w:lineRule="auto"/>
        <w:ind w:firstLine="480" w:firstLineChars="200"/>
        <w:rPr>
          <w:rFonts w:eastAsia="仿宋_GB2312" w:cs="Times New Roman"/>
        </w:rPr>
      </w:pPr>
      <w:r>
        <w:rPr>
          <w:rFonts w:hint="eastAsia" w:eastAsia="仿宋_GB2312" w:cs="Times New Roman"/>
        </w:rPr>
        <w:t>对三氧化硫吸收中产生的低温位余热，采用孟山都的HRS余热回收系统，产生1.0MPa(g)、250℃中压过热蒸气65t/h。</w:t>
      </w:r>
    </w:p>
    <w:p>
      <w:pPr>
        <w:spacing w:line="360" w:lineRule="auto"/>
        <w:ind w:firstLine="480" w:firstLineChars="200"/>
        <w:rPr>
          <w:rFonts w:eastAsia="仿宋_GB2312" w:cs="Times New Roman"/>
        </w:rPr>
      </w:pPr>
      <w:r>
        <w:rPr>
          <w:rFonts w:hint="eastAsia" w:eastAsia="仿宋_GB2312" w:cs="Times New Roman"/>
        </w:rPr>
        <w:t>所产生的高压过热蒸气全部送至热电装置发电，中压过热蒸气中小部分用于其他生产装置，其余的大部分都送去发电</w:t>
      </w:r>
    </w:p>
    <w:p>
      <w:pPr>
        <w:spacing w:line="360" w:lineRule="auto"/>
        <w:jc w:val="center"/>
        <w:rPr>
          <w:rFonts w:eastAsia="仿宋_GB2312" w:cs="Times New Roman"/>
        </w:rPr>
      </w:pPr>
      <w:bookmarkStart w:id="83" w:name="_MON_1430042300"/>
      <w:bookmarkEnd w:id="83"/>
      <w:bookmarkStart w:id="84" w:name="_MON_1430060518"/>
      <w:bookmarkEnd w:id="84"/>
      <w:bookmarkStart w:id="85" w:name="_MON_1432969075"/>
      <w:bookmarkEnd w:id="85"/>
      <w:bookmarkStart w:id="86" w:name="_MON_1430060280"/>
      <w:bookmarkEnd w:id="86"/>
      <w:bookmarkStart w:id="87" w:name="_MON_1434276523"/>
      <w:bookmarkEnd w:id="87"/>
      <w:bookmarkStart w:id="88" w:name="_MON_1429617748"/>
      <w:bookmarkEnd w:id="88"/>
      <w:bookmarkStart w:id="89" w:name="_MON_1430065363"/>
      <w:bookmarkEnd w:id="89"/>
      <w:r>
        <w:rPr>
          <w:color w:val="00B050"/>
        </w:rPr>
        <w:object>
          <v:shape id="_x0000_i1025" o:spt="75" type="#_x0000_t75" style="height:412.3pt;width:481.6pt;" o:ole="t" filled="f" o:preferrelative="t" stroked="f" coordsize="21600,21600">
            <v:path/>
            <v:fill on="f" focussize="0,0"/>
            <v:stroke on="f" joinstyle="miter"/>
            <v:imagedata r:id="rId21" cropleft="2319f" o:title=""/>
            <o:lock v:ext="edit" aspectratio="t"/>
            <w10:wrap type="none"/>
            <w10:anchorlock/>
          </v:shape>
          <o:OLEObject Type="Embed" ProgID="Word.Picture.8" ShapeID="_x0000_i1025" DrawAspect="Content" ObjectID="_1468075725"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图2.5 98.5%硫酸生产工艺流程及产污环节图</w:t>
      </w:r>
    </w:p>
    <w:p>
      <w:pPr>
        <w:spacing w:line="360" w:lineRule="auto"/>
        <w:ind w:firstLine="482" w:firstLineChars="200"/>
        <w:rPr>
          <w:rFonts w:eastAsia="仿宋_GB2312" w:cs="Times New Roman"/>
          <w:b/>
        </w:rPr>
      </w:pPr>
      <w:r>
        <w:rPr>
          <w:rFonts w:hint="eastAsia" w:eastAsia="仿宋_GB2312" w:cs="Times New Roman"/>
          <w:b/>
        </w:rPr>
        <w:t>2. 氯系列生产工艺及流程简述</w:t>
      </w:r>
    </w:p>
    <w:p>
      <w:pPr>
        <w:spacing w:line="360" w:lineRule="auto"/>
        <w:ind w:firstLine="480" w:firstLineChars="200"/>
        <w:rPr>
          <w:rFonts w:eastAsia="仿宋_GB2312" w:cs="Times New Roman"/>
        </w:rPr>
      </w:pPr>
      <w:r>
        <w:rPr>
          <w:rFonts w:hint="eastAsia" w:eastAsia="仿宋_GB2312" w:cs="Times New Roman"/>
        </w:rPr>
        <w:t>（1）工艺原理：以固体盐为原料，经一次盐水制备、二次盐水精制后进电解槽，生成NaOH、H</w:t>
      </w:r>
      <w:r>
        <w:rPr>
          <w:rFonts w:hint="eastAsia" w:eastAsia="仿宋_GB2312" w:cs="Times New Roman"/>
          <w:vertAlign w:val="subscript"/>
        </w:rPr>
        <w:t>2</w:t>
      </w:r>
      <w:r>
        <w:rPr>
          <w:rFonts w:hint="eastAsia" w:eastAsia="仿宋_GB2312" w:cs="Times New Roman"/>
        </w:rPr>
        <w:t>和Cl</w:t>
      </w:r>
      <w:r>
        <w:rPr>
          <w:rFonts w:hint="eastAsia" w:eastAsia="仿宋_GB2312" w:cs="Times New Roman"/>
          <w:vertAlign w:val="subscript"/>
        </w:rPr>
        <w:t>2</w:t>
      </w:r>
      <w:r>
        <w:rPr>
          <w:rFonts w:hint="eastAsia" w:eastAsia="仿宋_GB2312" w:cs="Times New Roman"/>
        </w:rPr>
        <w:t>，NaOH送至液碱成品罐或蒸发工段生产48%成品液碱；Cl</w:t>
      </w:r>
      <w:r>
        <w:rPr>
          <w:rFonts w:hint="eastAsia" w:eastAsia="仿宋_GB2312" w:cs="Times New Roman"/>
          <w:vertAlign w:val="subscript"/>
        </w:rPr>
        <w:t>2</w:t>
      </w:r>
      <w:r>
        <w:rPr>
          <w:rFonts w:hint="eastAsia" w:eastAsia="仿宋_GB2312" w:cs="Times New Roman"/>
        </w:rPr>
        <w:t>部分制液氯，部分送盐酸工段与H</w:t>
      </w:r>
      <w:r>
        <w:rPr>
          <w:rFonts w:hint="eastAsia" w:eastAsia="仿宋_GB2312" w:cs="Times New Roman"/>
          <w:vertAlign w:val="subscript"/>
        </w:rPr>
        <w:t>2</w:t>
      </w:r>
      <w:r>
        <w:rPr>
          <w:rFonts w:hint="eastAsia" w:eastAsia="仿宋_GB2312" w:cs="Times New Roman"/>
        </w:rPr>
        <w:t>在石墨合成炉中反应生成HCl，部分送次钠工段与NaOH反应生成NaClO。以下为化学反应方程式：</w:t>
      </w:r>
    </w:p>
    <w:p>
      <w:pPr>
        <w:spacing w:line="360" w:lineRule="auto"/>
        <w:ind w:firstLine="480" w:firstLineChars="200"/>
        <w:rPr>
          <w:rFonts w:eastAsia="仿宋_GB2312" w:cs="Times New Roman"/>
        </w:rPr>
      </w:pPr>
      <w:r>
        <w:rPr>
          <w:rFonts w:hint="eastAsia" w:eastAsia="仿宋_GB2312" w:cs="Times New Roman"/>
        </w:rPr>
        <w:t>2Na+ + 2H</w:t>
      </w:r>
      <w:r>
        <w:rPr>
          <w:rFonts w:hint="eastAsia" w:eastAsia="仿宋_GB2312" w:cs="Times New Roman"/>
          <w:vertAlign w:val="subscript"/>
        </w:rPr>
        <w:t>2</w:t>
      </w:r>
      <w:r>
        <w:rPr>
          <w:rFonts w:hint="eastAsia" w:eastAsia="仿宋_GB2312" w:cs="Times New Roman"/>
        </w:rPr>
        <w:t>O+ 2e → 2NaOH + H</w:t>
      </w:r>
      <w:r>
        <w:rPr>
          <w:rFonts w:hint="eastAsia" w:eastAsia="仿宋_GB2312" w:cs="Times New Roman"/>
          <w:vertAlign w:val="subscript"/>
        </w:rPr>
        <w:t>2</w:t>
      </w:r>
      <w:r>
        <w:rPr>
          <w:rFonts w:hint="eastAsia" w:eastAsia="仿宋_GB2312" w:cs="Times New Roman"/>
        </w:rPr>
        <w:t>↑，2Cl</w:t>
      </w:r>
      <w:r>
        <w:rPr>
          <w:rFonts w:hint="eastAsia" w:eastAsia="仿宋_GB2312" w:cs="Times New Roman"/>
          <w:vertAlign w:val="superscript"/>
        </w:rPr>
        <w:t>-</w:t>
      </w:r>
      <w:r>
        <w:rPr>
          <w:rFonts w:hint="eastAsia" w:eastAsia="仿宋_GB2312" w:cs="Times New Roman"/>
        </w:rPr>
        <w:t xml:space="preserve"> →Cl2↑+ 2e H</w:t>
      </w:r>
      <w:r>
        <w:rPr>
          <w:rFonts w:hint="eastAsia" w:eastAsia="仿宋_GB2312" w:cs="Times New Roman"/>
          <w:vertAlign w:val="subscript"/>
        </w:rPr>
        <w:t>2</w:t>
      </w:r>
      <w:r>
        <w:rPr>
          <w:rFonts w:hint="eastAsia" w:eastAsia="仿宋_GB2312" w:cs="Times New Roman"/>
        </w:rPr>
        <w:t xml:space="preserve"> + Cl</w:t>
      </w:r>
      <w:r>
        <w:rPr>
          <w:rFonts w:hint="eastAsia" w:eastAsia="仿宋_GB2312" w:cs="Times New Roman"/>
          <w:vertAlign w:val="subscript"/>
        </w:rPr>
        <w:t>2</w:t>
      </w:r>
      <w:r>
        <w:rPr>
          <w:rFonts w:hint="eastAsia" w:eastAsia="仿宋_GB2312" w:cs="Times New Roman"/>
        </w:rPr>
        <w:t xml:space="preserve"> → 2HCl</w:t>
      </w:r>
    </w:p>
    <w:p>
      <w:pPr>
        <w:spacing w:line="360" w:lineRule="auto"/>
        <w:ind w:firstLine="480" w:firstLineChars="200"/>
        <w:rPr>
          <w:rFonts w:eastAsia="仿宋_GB2312" w:cs="Times New Roman"/>
        </w:rPr>
      </w:pPr>
      <w:r>
        <w:rPr>
          <w:rFonts w:hint="eastAsia" w:eastAsia="仿宋_GB2312" w:cs="Times New Roman"/>
        </w:rPr>
        <w:t>2NaOH + Cl</w:t>
      </w:r>
      <w:r>
        <w:rPr>
          <w:rFonts w:hint="eastAsia" w:eastAsia="仿宋_GB2312" w:cs="Times New Roman"/>
          <w:vertAlign w:val="subscript"/>
        </w:rPr>
        <w:t>2</w:t>
      </w:r>
      <w:r>
        <w:rPr>
          <w:rFonts w:hint="eastAsia" w:eastAsia="仿宋_GB2312" w:cs="Times New Roman"/>
        </w:rPr>
        <w:t xml:space="preserve"> → NaCl + NaClO＋H</w:t>
      </w:r>
      <w:r>
        <w:rPr>
          <w:rFonts w:hint="eastAsia" w:eastAsia="仿宋_GB2312" w:cs="Times New Roman"/>
          <w:vertAlign w:val="subscript"/>
        </w:rPr>
        <w:t>2</w:t>
      </w:r>
      <w:r>
        <w:rPr>
          <w:rFonts w:hint="eastAsia" w:eastAsia="仿宋_GB2312" w:cs="Times New Roman"/>
        </w:rPr>
        <w:t>O</w:t>
      </w:r>
    </w:p>
    <w:p>
      <w:pPr>
        <w:spacing w:line="360" w:lineRule="auto"/>
        <w:ind w:firstLine="480" w:firstLineChars="200"/>
        <w:rPr>
          <w:rFonts w:eastAsia="仿宋_GB2312" w:cs="Times New Roman"/>
        </w:rPr>
      </w:pPr>
      <w:r>
        <w:rPr>
          <w:rFonts w:hint="eastAsia" w:eastAsia="仿宋_GB2312" w:cs="Times New Roman"/>
        </w:rPr>
        <w:t>（2）工艺流程及说明</w:t>
      </w:r>
    </w:p>
    <w:p>
      <w:pPr>
        <w:spacing w:line="360" w:lineRule="auto"/>
        <w:ind w:firstLine="480" w:firstLineChars="200"/>
        <w:rPr>
          <w:rFonts w:eastAsia="仿宋_GB2312" w:cs="Times New Roman"/>
        </w:rPr>
      </w:pPr>
      <w:r>
        <w:rPr>
          <w:rFonts w:hint="eastAsia" w:eastAsia="仿宋_GB2312" w:cs="Times New Roman"/>
        </w:rPr>
        <w:t>氯系列产品生产工艺为离子膜烧碱工艺。离子膜电解技术分为单极槽和复极槽两类，其技术均较先进、可靠，但复极槽与单极槽相比，具有安装及维修方便、膜利用率高、整流效率高、电耗低等优点。目前公司的离子膜技术采用日本旭化成的复极式自然循环电解槽电解工艺技术，并引进意大利SET公司的先进降膜蒸发工艺技术，电解槽使用行业内广泛采用的零极矩技术，大大减少电耗。氯系列产品工艺流程图如下：</w:t>
      </w:r>
    </w:p>
    <w:p>
      <w:pPr>
        <w:spacing w:line="360" w:lineRule="auto"/>
        <w:jc w:val="center"/>
        <w:rPr>
          <w:rFonts w:eastAsia="仿宋_GB2312" w:cs="Times New Roman"/>
        </w:rPr>
      </w:pPr>
      <w:bookmarkStart w:id="90" w:name="_MON_1430065364"/>
      <w:bookmarkEnd w:id="90"/>
      <w:bookmarkStart w:id="91" w:name="_MON_1632130055"/>
      <w:bookmarkEnd w:id="91"/>
      <w:bookmarkStart w:id="92" w:name="_MON_1434275805"/>
      <w:bookmarkEnd w:id="92"/>
      <w:bookmarkStart w:id="93" w:name="_MON_1630667658"/>
      <w:bookmarkEnd w:id="93"/>
      <w:bookmarkStart w:id="94" w:name="_MON_1429620455"/>
      <w:bookmarkEnd w:id="94"/>
      <w:bookmarkStart w:id="95" w:name="_MON_1429620532"/>
      <w:bookmarkEnd w:id="95"/>
      <w:bookmarkStart w:id="96" w:name="_MON_1632129977"/>
      <w:bookmarkEnd w:id="96"/>
      <w:bookmarkStart w:id="97" w:name="_MON_1429620471"/>
      <w:bookmarkEnd w:id="97"/>
      <w:bookmarkStart w:id="98" w:name="_MON_1429620489"/>
      <w:bookmarkEnd w:id="98"/>
      <w:bookmarkStart w:id="99" w:name="_MON_1632130151"/>
      <w:bookmarkEnd w:id="99"/>
      <w:bookmarkStart w:id="100" w:name="_MON_1433575769"/>
      <w:bookmarkEnd w:id="100"/>
      <w:bookmarkStart w:id="101" w:name="_MON_1632130103"/>
      <w:bookmarkEnd w:id="101"/>
      <w:r>
        <w:rPr>
          <w:rFonts w:ascii="宋体" w:hAnsi="宋体"/>
          <w:color w:val="00B050"/>
        </w:rPr>
        <w:object>
          <v:shape id="_x0000_i1026" o:spt="75" type="#_x0000_t75" style="height:273.05pt;width:485pt;" o:ole="t" filled="f" o:preferrelative="t" stroked="f" coordsize="21600,21600">
            <v:path/>
            <v:fill on="f" focussize="0,0"/>
            <v:stroke on="f" joinstyle="miter"/>
            <v:imagedata r:id="rId23" cropleft="1098f" cropright="505f" cropbottom="4026f" o:title=""/>
            <o:lock v:ext="edit" aspectratio="t"/>
            <w10:wrap type="none"/>
            <w10:anchorlock/>
          </v:shape>
          <o:OLEObject Type="Embed" ProgID="Word.Picture.8" ShapeID="_x0000_i1026" DrawAspect="Content" ObjectID="_1468075726"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图2.6 氯系列产品生产工艺流程图</w:t>
      </w:r>
    </w:p>
    <w:p>
      <w:pPr>
        <w:pStyle w:val="61"/>
        <w:numPr>
          <w:ilvl w:val="0"/>
          <w:numId w:val="1"/>
        </w:numPr>
        <w:spacing w:line="360" w:lineRule="auto"/>
        <w:ind w:firstLineChars="0"/>
        <w:rPr>
          <w:rFonts w:eastAsia="仿宋_GB2312" w:cs="Times New Roman"/>
        </w:rPr>
      </w:pPr>
      <w:r>
        <w:rPr>
          <w:rFonts w:hint="eastAsia" w:eastAsia="仿宋_GB2312" w:cs="Times New Roman"/>
        </w:rPr>
        <w:t>盐水一次精制</w:t>
      </w:r>
    </w:p>
    <w:p>
      <w:pPr>
        <w:pStyle w:val="61"/>
        <w:spacing w:line="360" w:lineRule="auto"/>
        <w:ind w:firstLine="480"/>
        <w:rPr>
          <w:rFonts w:eastAsia="仿宋_GB2312" w:cs="Times New Roman"/>
        </w:rPr>
      </w:pPr>
      <w:r>
        <w:rPr>
          <w:rFonts w:hint="eastAsia" w:eastAsia="仿宋_GB2312" w:cs="Times New Roman"/>
        </w:rPr>
        <w:t>工业水、脱氯淡盐水在化盐桶中与加入的固体盐进行饱和，制成饱和粗盐水，采用烧碱—纯碱法进行精制，反应生成的钙、镁固相悬浮物通过过滤后得精盐水进入二次盐水工段。过滤的滤渣即盐泥，经压滤后滤液返回化盐工段，滤饼（S1）外送处置。过滤器反洗水也返回化盐工段。目前使用固体盐作为原料，杂质离子较多，产生的盐泥固废也较多。</w:t>
      </w:r>
    </w:p>
    <w:p>
      <w:pPr>
        <w:spacing w:line="360" w:lineRule="auto"/>
        <w:jc w:val="center"/>
        <w:rPr>
          <w:rFonts w:eastAsia="仿宋_GB2312" w:cs="Times New Roman"/>
        </w:rPr>
      </w:pPr>
      <w:bookmarkStart w:id="102" w:name="_MON_1632130343"/>
      <w:bookmarkEnd w:id="102"/>
      <w:bookmarkStart w:id="103" w:name="_MON_1429620620"/>
      <w:bookmarkEnd w:id="103"/>
      <w:bookmarkStart w:id="104" w:name="_MON_1434275855"/>
      <w:bookmarkEnd w:id="104"/>
      <w:bookmarkStart w:id="105" w:name="_MON_1429620630"/>
      <w:bookmarkEnd w:id="105"/>
      <w:r>
        <w:rPr>
          <w:color w:val="00B050"/>
        </w:rPr>
        <w:object>
          <v:shape id="_x0000_i1027" o:spt="75" type="#_x0000_t75" style="height:196.3pt;width:476.15pt;" o:ole="t" filled="f" o:preferrelative="t" stroked="f" coordsize="21600,21600">
            <v:path/>
            <v:fill on="f" focussize="0,0"/>
            <v:stroke on="f" joinstyle="miter"/>
            <v:imagedata r:id="rId25" cropleft="809f" croptop="-2307f" cropright="1680f" o:title=""/>
            <o:lock v:ext="edit" aspectratio="t"/>
            <w10:wrap type="none"/>
            <w10:anchorlock/>
          </v:shape>
          <o:OLEObject Type="Embed" ProgID="Word.Picture.8" ShapeID="_x0000_i1027" DrawAspect="Content" ObjectID="_1468075727"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图2.7 氯系列产品一次盐水工段生产工艺流程图</w:t>
      </w:r>
    </w:p>
    <w:p>
      <w:pPr>
        <w:pStyle w:val="61"/>
        <w:numPr>
          <w:ilvl w:val="0"/>
          <w:numId w:val="1"/>
        </w:numPr>
        <w:spacing w:line="360" w:lineRule="auto"/>
        <w:ind w:firstLineChars="0"/>
        <w:rPr>
          <w:rFonts w:eastAsia="仿宋_GB2312" w:cs="Times New Roman"/>
        </w:rPr>
      </w:pPr>
      <w:r>
        <w:rPr>
          <w:rFonts w:hint="eastAsia" w:eastAsia="仿宋_GB2312" w:cs="Times New Roman"/>
        </w:rPr>
        <w:t>盐水二次精制及电解：</w:t>
      </w:r>
    </w:p>
    <w:p>
      <w:pPr>
        <w:spacing w:line="360" w:lineRule="auto"/>
        <w:ind w:firstLine="480" w:firstLineChars="200"/>
        <w:rPr>
          <w:rFonts w:eastAsia="仿宋_GB2312" w:cs="Times New Roman"/>
        </w:rPr>
      </w:pPr>
      <w:r>
        <w:rPr>
          <w:rFonts w:hint="eastAsia" w:eastAsia="仿宋_GB2312" w:cs="Times New Roman"/>
        </w:rPr>
        <w:t>一次盐水经盐水加热器加热至60℃后，送往螯合树脂塔除去Ca</w:t>
      </w:r>
      <w:r>
        <w:rPr>
          <w:rFonts w:hint="eastAsia" w:eastAsia="仿宋_GB2312" w:cs="Times New Roman"/>
          <w:vertAlign w:val="superscript"/>
        </w:rPr>
        <w:t>2＋</w:t>
      </w:r>
      <w:r>
        <w:rPr>
          <w:rFonts w:hint="eastAsia" w:eastAsia="仿宋_GB2312" w:cs="Times New Roman"/>
        </w:rPr>
        <w:t>、Mg2</w:t>
      </w:r>
      <w:r>
        <w:rPr>
          <w:rFonts w:hint="eastAsia" w:eastAsia="仿宋_GB2312" w:cs="Times New Roman"/>
          <w:vertAlign w:val="superscript"/>
        </w:rPr>
        <w:t>＋</w:t>
      </w:r>
      <w:r>
        <w:rPr>
          <w:rFonts w:hint="eastAsia" w:eastAsia="仿宋_GB2312" w:cs="Times New Roman"/>
        </w:rPr>
        <w:t>离子（&lt;20ppb），然后进入电解槽进行电解。</w:t>
      </w:r>
    </w:p>
    <w:p>
      <w:pPr>
        <w:spacing w:line="360" w:lineRule="auto"/>
        <w:ind w:firstLine="480" w:firstLineChars="200"/>
        <w:rPr>
          <w:rFonts w:eastAsia="仿宋_GB2312" w:cs="Times New Roman"/>
        </w:rPr>
      </w:pPr>
      <w:r>
        <w:rPr>
          <w:rFonts w:hint="eastAsia" w:eastAsia="仿宋_GB2312" w:cs="Times New Roman"/>
        </w:rPr>
        <w:t>从电解槽阳极室流出的淡盐水去淡盐水脱氯工序（真空脱氯塔），湿氯气汇入总管送配套工程氯处理工序；从阴极室流出的电解液（32％NaOH）进入电解液贮槽，用泵送蒸发工序（或成品贮罐），阴极室分离出来的氢气送氢处理工序。</w:t>
      </w:r>
    </w:p>
    <w:p>
      <w:pPr>
        <w:spacing w:line="360" w:lineRule="auto"/>
        <w:ind w:firstLine="480" w:firstLineChars="200"/>
        <w:rPr>
          <w:rFonts w:eastAsia="仿宋_GB2312" w:cs="Times New Roman"/>
        </w:rPr>
      </w:pPr>
      <w:r>
        <w:rPr>
          <w:rFonts w:hint="eastAsia" w:eastAsia="仿宋_GB2312" w:cs="Times New Roman"/>
        </w:rPr>
        <w:t>从淡盐水储槽抽出的淡盐水送入脱氯塔上部，脱出来的氯气经过脱氯塔冷却器除去水份之后，作为产品氯气进入氯总管加以回收，脱氯塔出来的淡盐水送到一次盐水工序。</w:t>
      </w:r>
    </w:p>
    <w:p>
      <w:pPr>
        <w:spacing w:line="360" w:lineRule="auto"/>
        <w:jc w:val="center"/>
        <w:rPr>
          <w:rFonts w:eastAsia="仿宋_GB2312" w:cs="Times New Roman"/>
        </w:rPr>
      </w:pPr>
      <w:bookmarkStart w:id="106" w:name="_MON_1429620720"/>
      <w:bookmarkEnd w:id="106"/>
      <w:bookmarkStart w:id="107" w:name="_MON_1430065365"/>
      <w:bookmarkEnd w:id="107"/>
      <w:r>
        <w:rPr>
          <w:color w:val="00B050"/>
        </w:rPr>
        <w:object>
          <v:shape id="_x0000_i1028" o:spt="75" type="#_x0000_t75" style="height:161pt;width:476.15pt;" o:ole="t" filled="f" o:preferrelative="t" stroked="f" coordsize="21600,21600">
            <v:path/>
            <v:fill on="f" focussize="0,0"/>
            <v:stroke on="f" joinstyle="miter"/>
            <v:imagedata r:id="rId27" cropleft="2294f" cropright="3914f" o:title=""/>
            <o:lock v:ext="edit" aspectratio="t"/>
            <w10:wrap type="none"/>
            <w10:anchorlock/>
          </v:shape>
          <o:OLEObject Type="Embed" ProgID="Word.Picture.8" ShapeID="_x0000_i1028" DrawAspect="Content" ObjectID="_1468075728" r:id="rId2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图2.8 氯系系列产品二次盐水级电解工段生产工艺流程图</w:t>
      </w:r>
    </w:p>
    <w:p>
      <w:pPr>
        <w:pStyle w:val="61"/>
        <w:numPr>
          <w:ilvl w:val="0"/>
          <w:numId w:val="1"/>
        </w:numPr>
        <w:spacing w:line="360" w:lineRule="auto"/>
        <w:ind w:firstLineChars="0"/>
        <w:rPr>
          <w:rFonts w:eastAsia="仿宋_GB2312" w:cs="Times New Roman"/>
        </w:rPr>
      </w:pPr>
      <w:r>
        <w:rPr>
          <w:rFonts w:hint="eastAsia" w:eastAsia="仿宋_GB2312" w:cs="Times New Roman"/>
        </w:rPr>
        <w:t>氯氢处理</w:t>
      </w:r>
    </w:p>
    <w:p>
      <w:pPr>
        <w:spacing w:line="360" w:lineRule="auto"/>
        <w:ind w:firstLine="480" w:firstLineChars="200"/>
        <w:rPr>
          <w:rFonts w:eastAsia="仿宋_GB2312" w:cs="Times New Roman"/>
        </w:rPr>
      </w:pPr>
      <w:r>
        <w:rPr>
          <w:rFonts w:hint="eastAsia" w:eastAsia="仿宋_GB2312" w:cs="Times New Roman"/>
        </w:rPr>
        <w:t>①氯处理</w:t>
      </w:r>
    </w:p>
    <w:p>
      <w:pPr>
        <w:spacing w:line="360" w:lineRule="auto"/>
        <w:ind w:firstLine="480" w:firstLineChars="200"/>
        <w:rPr>
          <w:rFonts w:eastAsia="仿宋_GB2312" w:cs="Times New Roman"/>
        </w:rPr>
      </w:pPr>
      <w:r>
        <w:rPr>
          <w:rFonts w:hint="eastAsia" w:eastAsia="仿宋_GB2312" w:cs="Times New Roman"/>
        </w:rPr>
        <w:t>从电解来的湿氯气，进入洗涤塔采用循环冷却水进行逆向热交换，氯气中的水蒸汽被冷凝后除去，并除去夹带的盐雾等杂质，再进入氯气冷却器冷却，然后进入湿氯除雾器，除去水雾后，进入三台串联的氯气干燥塔，与经过冷却的98％硫酸逆流接触进行干燥，送氯气压缩工段经四级压缩和四级冷却后送氯气液化工段。稀硫酸（S4）定期送出外供。氯气处理过程中产生的氯水送淡盐水脱氯装置脱氯。</w:t>
      </w:r>
    </w:p>
    <w:p>
      <w:pPr>
        <w:spacing w:line="360" w:lineRule="auto"/>
        <w:ind w:firstLine="480" w:firstLineChars="200"/>
        <w:rPr>
          <w:rFonts w:eastAsia="仿宋_GB2312" w:cs="Times New Roman"/>
        </w:rPr>
      </w:pPr>
      <w:r>
        <w:rPr>
          <w:rFonts w:hint="eastAsia" w:eastAsia="仿宋_GB2312" w:cs="Times New Roman"/>
        </w:rPr>
        <w:t>氯气液化：氯处理工序来的氯气进入氯气液化器冷凝成液体，经液氯分离器分离出液氯后进入液氯储存及包装工序的液氯储槽。氯液化工段的尾氯送次氯酸钠工段与NaOH反应生成次氯酸钠。</w:t>
      </w:r>
    </w:p>
    <w:p>
      <w:pPr>
        <w:spacing w:line="360" w:lineRule="auto"/>
        <w:ind w:firstLine="480" w:firstLineChars="200"/>
        <w:rPr>
          <w:rFonts w:eastAsia="仿宋_GB2312" w:cs="Times New Roman"/>
        </w:rPr>
      </w:pPr>
      <w:r>
        <w:rPr>
          <w:rFonts w:hint="eastAsia" w:eastAsia="仿宋_GB2312" w:cs="Times New Roman"/>
        </w:rPr>
        <w:t>当系统压力超压时，氯气出氯气洗涤塔，冲破安全水封，进入氯气事故吸收塔，开停车时的淡氯气进入淡氯气处理塔（与氯气事故吸收塔共用一个排气筒），用碱液循环喷淋吸收氯气，循环碱液达到一定浓度后，用泵送至次氯酸钠工段。</w:t>
      </w:r>
    </w:p>
    <w:p>
      <w:pPr>
        <w:spacing w:line="360" w:lineRule="auto"/>
        <w:ind w:firstLine="480" w:firstLineChars="200"/>
        <w:rPr>
          <w:rFonts w:eastAsia="仿宋_GB2312" w:cs="Times New Roman"/>
        </w:rPr>
      </w:pPr>
      <w:r>
        <w:rPr>
          <w:rFonts w:hint="eastAsia" w:eastAsia="仿宋_GB2312" w:cs="Times New Roman"/>
        </w:rPr>
        <w:t>②氢处理</w:t>
      </w:r>
    </w:p>
    <w:p>
      <w:pPr>
        <w:spacing w:line="360" w:lineRule="auto"/>
        <w:ind w:firstLine="480" w:firstLineChars="200"/>
        <w:rPr>
          <w:rFonts w:eastAsia="仿宋_GB2312" w:cs="Times New Roman"/>
        </w:rPr>
      </w:pPr>
      <w:r>
        <w:rPr>
          <w:rFonts w:hint="eastAsia" w:eastAsia="仿宋_GB2312" w:cs="Times New Roman"/>
        </w:rPr>
        <w:t>电解工段出来的湿氢气经氢气安全水封和氢气水封进入氢气冷却塔，用水喷淋冷却除去水汽和碱雾，再由氢气输送泵将氢气由外管分别送到盐酸合成装置和梅塞尔公司制纯氢气。</w:t>
      </w:r>
    </w:p>
    <w:p>
      <w:pPr>
        <w:spacing w:line="360" w:lineRule="auto"/>
        <w:jc w:val="center"/>
        <w:rPr>
          <w:rFonts w:eastAsia="仿宋_GB2312" w:cs="Times New Roman"/>
        </w:rPr>
      </w:pPr>
      <w:r>
        <w:drawing>
          <wp:inline distT="0" distB="0" distL="0" distR="0">
            <wp:extent cx="6047740" cy="1464310"/>
            <wp:effectExtent l="0" t="0" r="10160" b="254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28"/>
                    <a:stretch>
                      <a:fillRect/>
                    </a:stretch>
                  </pic:blipFill>
                  <pic:spPr>
                    <a:xfrm>
                      <a:off x="0" y="0"/>
                      <a:ext cx="6048000" cy="1464400"/>
                    </a:xfrm>
                    <a:prstGeom prst="rect">
                      <a:avLst/>
                    </a:prstGeom>
                  </pic:spPr>
                </pic:pic>
              </a:graphicData>
            </a:graphic>
          </wp:inline>
        </w:drawing>
      </w:r>
    </w:p>
    <w:p>
      <w:pPr>
        <w:spacing w:line="360" w:lineRule="auto"/>
        <w:jc w:val="center"/>
        <w:rPr>
          <w:rFonts w:eastAsia="仿宋_GB2312" w:cs="Times New Roman"/>
        </w:rPr>
      </w:pPr>
      <w:r>
        <w:drawing>
          <wp:inline distT="0" distB="0" distL="0" distR="0">
            <wp:extent cx="6047740" cy="1038225"/>
            <wp:effectExtent l="0" t="0" r="1016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a:stretch>
                      <a:fillRect/>
                    </a:stretch>
                  </pic:blipFill>
                  <pic:spPr>
                    <a:xfrm>
                      <a:off x="0" y="0"/>
                      <a:ext cx="6048000" cy="103840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图2.9 氯系列产品氯氢处理工段生产工艺流程图</w:t>
      </w:r>
    </w:p>
    <w:p>
      <w:pPr>
        <w:pStyle w:val="61"/>
        <w:numPr>
          <w:ilvl w:val="0"/>
          <w:numId w:val="2"/>
        </w:numPr>
        <w:spacing w:line="360" w:lineRule="auto"/>
        <w:ind w:firstLineChars="0"/>
        <w:rPr>
          <w:rFonts w:eastAsia="仿宋_GB2312" w:cs="Times New Roman"/>
        </w:rPr>
      </w:pPr>
      <w:r>
        <w:rPr>
          <w:rFonts w:hint="eastAsia" w:eastAsia="仿宋_GB2312" w:cs="Times New Roman"/>
        </w:rPr>
        <w:t>蒸发</w:t>
      </w:r>
    </w:p>
    <w:p>
      <w:pPr>
        <w:spacing w:line="360" w:lineRule="auto"/>
        <w:ind w:firstLine="480" w:firstLineChars="200"/>
        <w:rPr>
          <w:rFonts w:eastAsia="仿宋_GB2312" w:cs="Times New Roman"/>
        </w:rPr>
      </w:pPr>
      <w:r>
        <w:rPr>
          <w:rFonts w:hint="eastAsia" w:eastAsia="仿宋_GB2312" w:cs="Times New Roman"/>
        </w:rPr>
        <w:t>自电解来的32％液碱送入Ⅲ效蒸发器，经工艺蒸汽加热后蒸汽从II效气罐的溶液中分离出去，碱液则浓缩到37%。37%的碱液送到预热器中，在此用外界蒸汽冷凝水加热后送入I效蒸发器中，用外界蒸汽加热使水蒸发，工艺蒸汽从I效气罐中排出，碱液则进一步浓缩成为48%的成品碱。</w:t>
      </w:r>
    </w:p>
    <w:p>
      <w:pPr>
        <w:spacing w:line="360" w:lineRule="auto"/>
        <w:ind w:firstLine="480" w:firstLineChars="200"/>
        <w:rPr>
          <w:rFonts w:eastAsia="仿宋_GB2312" w:cs="Times New Roman"/>
        </w:rPr>
      </w:pPr>
      <w:r>
        <w:rPr>
          <w:rFonts w:hint="eastAsia" w:eastAsia="仿宋_GB2312" w:cs="Times New Roman"/>
        </w:rPr>
        <w:t>外界蒸汽和工艺蒸汽冷凝水均回用到一次化盐。</w:t>
      </w:r>
    </w:p>
    <w:p>
      <w:pPr>
        <w:spacing w:line="360" w:lineRule="auto"/>
        <w:jc w:val="center"/>
        <w:rPr>
          <w:rFonts w:eastAsia="仿宋_GB2312" w:cs="Times New Roman"/>
        </w:rPr>
      </w:pPr>
      <w:r>
        <w:drawing>
          <wp:inline distT="0" distB="0" distL="0" distR="0">
            <wp:extent cx="6047740" cy="1758950"/>
            <wp:effectExtent l="0" t="0" r="10160" b="127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0"/>
                    <a:stretch>
                      <a:fillRect/>
                    </a:stretch>
                  </pic:blipFill>
                  <pic:spPr>
                    <a:xfrm>
                      <a:off x="0" y="0"/>
                      <a:ext cx="6048000" cy="1759100"/>
                    </a:xfrm>
                    <a:prstGeom prst="rect">
                      <a:avLst/>
                    </a:prstGeom>
                  </pic:spPr>
                </pic:pic>
              </a:graphicData>
            </a:graphic>
          </wp:inline>
        </w:drawing>
      </w:r>
    </w:p>
    <w:p>
      <w:pPr>
        <w:spacing w:after="163" w:afterLines="50"/>
        <w:jc w:val="center"/>
        <w:rPr>
          <w:rFonts w:eastAsia="黑体" w:cs="Times New Roman"/>
          <w:sz w:val="21"/>
          <w:szCs w:val="21"/>
        </w:rPr>
      </w:pPr>
      <w:r>
        <w:rPr>
          <w:rFonts w:hint="eastAsia" w:ascii="Times New Roman" w:hAnsi="Times New Roman" w:eastAsia="黑体" w:cs="Times New Roman"/>
          <w:b/>
          <w:bCs/>
          <w:color w:val="auto"/>
          <w:kern w:val="2"/>
          <w:sz w:val="21"/>
          <w:szCs w:val="21"/>
          <w:lang w:val="en-US" w:eastAsia="zh-CN" w:bidi="ar-SA"/>
        </w:rPr>
        <w:t>图2.10 氯系列产品蒸发工段生产工艺流程图</w:t>
      </w:r>
    </w:p>
    <w:p>
      <w:pPr>
        <w:pStyle w:val="61"/>
        <w:numPr>
          <w:ilvl w:val="0"/>
          <w:numId w:val="2"/>
        </w:numPr>
        <w:spacing w:line="360" w:lineRule="auto"/>
        <w:ind w:firstLineChars="0"/>
        <w:rPr>
          <w:rFonts w:eastAsia="仿宋_GB2312" w:cs="Times New Roman"/>
        </w:rPr>
      </w:pPr>
      <w:r>
        <w:rPr>
          <w:rFonts w:hint="eastAsia" w:eastAsia="仿宋_GB2312" w:cs="Times New Roman"/>
        </w:rPr>
        <w:t>盐酸合成</w:t>
      </w:r>
    </w:p>
    <w:p>
      <w:pPr>
        <w:spacing w:line="360" w:lineRule="auto"/>
        <w:ind w:firstLine="480" w:firstLineChars="200"/>
        <w:rPr>
          <w:rFonts w:eastAsia="仿宋_GB2312" w:cs="Times New Roman"/>
        </w:rPr>
      </w:pPr>
      <w:r>
        <w:rPr>
          <w:rFonts w:hint="eastAsia" w:eastAsia="仿宋_GB2312" w:cs="Times New Roman"/>
        </w:rPr>
        <w:t>从氯氢处理来的氯气和氢气进入三合一石墨合成炉，生成31%的高纯盐酸。尾气经过尾气吸收器吸收，不凝气放空，尾气吸收器的吸收水进入三合一石墨合成炉作为制酸的吸收水。</w:t>
      </w:r>
    </w:p>
    <w:p>
      <w:pPr>
        <w:spacing w:line="360" w:lineRule="auto"/>
        <w:jc w:val="center"/>
        <w:rPr>
          <w:rFonts w:eastAsia="仿宋_GB2312" w:cs="Times New Roman"/>
        </w:rPr>
      </w:pPr>
      <w:r>
        <w:drawing>
          <wp:inline distT="0" distB="0" distL="0" distR="0">
            <wp:extent cx="4967605" cy="1827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a:stretch>
                      <a:fillRect/>
                    </a:stretch>
                  </pic:blipFill>
                  <pic:spPr>
                    <a:xfrm>
                      <a:off x="0" y="0"/>
                      <a:ext cx="4968000" cy="1828089"/>
                    </a:xfrm>
                    <a:prstGeom prst="rect">
                      <a:avLst/>
                    </a:prstGeom>
                  </pic:spPr>
                </pic:pic>
              </a:graphicData>
            </a:graphic>
          </wp:inline>
        </w:drawing>
      </w:r>
    </w:p>
    <w:p>
      <w:pPr>
        <w:spacing w:after="163" w:afterLines="50"/>
        <w:jc w:val="center"/>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图2.11 氯系列产品盐酸合成工段生产工艺流程图</w:t>
      </w:r>
    </w:p>
    <w:p>
      <w:pPr>
        <w:pStyle w:val="61"/>
        <w:numPr>
          <w:ilvl w:val="0"/>
          <w:numId w:val="2"/>
        </w:numPr>
        <w:spacing w:line="360" w:lineRule="auto"/>
        <w:ind w:firstLineChars="0"/>
        <w:rPr>
          <w:rFonts w:eastAsia="仿宋_GB2312" w:cs="Times New Roman"/>
        </w:rPr>
      </w:pPr>
      <w:r>
        <w:rPr>
          <w:rFonts w:hint="eastAsia" w:eastAsia="仿宋_GB2312" w:cs="Times New Roman"/>
        </w:rPr>
        <w:t>次氯酸钠</w:t>
      </w:r>
    </w:p>
    <w:p>
      <w:pPr>
        <w:spacing w:line="360" w:lineRule="auto"/>
        <w:ind w:firstLine="480" w:firstLineChars="200"/>
        <w:rPr>
          <w:rFonts w:eastAsia="仿宋_GB2312" w:cs="Times New Roman"/>
        </w:rPr>
      </w:pPr>
      <w:r>
        <w:rPr>
          <w:rFonts w:hint="eastAsia" w:eastAsia="仿宋_GB2312" w:cs="Times New Roman"/>
        </w:rPr>
        <w:t>32%液碱在配碱槽配制成17～18％的碱液，送入填料塔内，再流入降膜塔顶部，同时氯气经从降膜塔顶部进入，和填料塔下来的碱液进行反应生成次氯酸钠。从降膜塔底部出来的未反应完氯气进入填料塔底部，与顶部下来的碱液接触反应，尾气（G2）经碱液喷射吸收后放空。</w:t>
      </w:r>
    </w:p>
    <w:p>
      <w:pPr>
        <w:spacing w:line="360" w:lineRule="auto"/>
        <w:jc w:val="center"/>
        <w:rPr>
          <w:rFonts w:eastAsia="仿宋_GB2312" w:cs="Times New Roman"/>
        </w:rPr>
      </w:pPr>
      <w:r>
        <w:drawing>
          <wp:inline distT="0" distB="0" distL="0" distR="0">
            <wp:extent cx="6047740" cy="2080260"/>
            <wp:effectExtent l="0" t="0" r="10160" b="1524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pic:cNvPicPr>
                  </pic:nvPicPr>
                  <pic:blipFill>
                    <a:blip r:embed="rId32"/>
                    <a:stretch>
                      <a:fillRect/>
                    </a:stretch>
                  </pic:blipFill>
                  <pic:spPr>
                    <a:xfrm>
                      <a:off x="0" y="0"/>
                      <a:ext cx="6048000" cy="2080400"/>
                    </a:xfrm>
                    <a:prstGeom prst="rect">
                      <a:avLst/>
                    </a:prstGeom>
                  </pic:spPr>
                </pic:pic>
              </a:graphicData>
            </a:graphic>
          </wp:inline>
        </w:drawing>
      </w:r>
    </w:p>
    <w:p>
      <w:pPr>
        <w:spacing w:after="163" w:afterLines="50"/>
        <w:jc w:val="center"/>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图2.12 氯系列产品次氯酸钠工段生产工艺流程图</w:t>
      </w:r>
    </w:p>
    <w:p>
      <w:pPr>
        <w:spacing w:line="360" w:lineRule="auto"/>
        <w:ind w:firstLine="482" w:firstLineChars="200"/>
        <w:rPr>
          <w:rFonts w:eastAsia="仿宋_GB2312" w:cs="Times New Roman"/>
          <w:b/>
        </w:rPr>
      </w:pPr>
      <w:r>
        <w:rPr>
          <w:rFonts w:hint="eastAsia" w:eastAsia="仿宋_GB2312" w:cs="Times New Roman"/>
          <w:b/>
        </w:rPr>
        <w:t>3．余热发电工艺流程介绍</w:t>
      </w:r>
    </w:p>
    <w:p>
      <w:pPr>
        <w:spacing w:line="360" w:lineRule="auto"/>
        <w:ind w:firstLine="480" w:firstLineChars="200"/>
        <w:rPr>
          <w:rFonts w:eastAsia="仿宋_GB2312" w:cs="Times New Roman"/>
        </w:rPr>
      </w:pPr>
      <w:r>
        <w:rPr>
          <w:rFonts w:hint="eastAsia" w:eastAsia="仿宋_GB2312" w:cs="Times New Roman"/>
        </w:rPr>
        <w:t>余热发电工艺是一个能量转化的过程，将硫磺制酸装置中产生的大量高、中温位余热以及低温位余热进行回收，再经汽轮机、发电机转化为电能。</w:t>
      </w:r>
    </w:p>
    <w:p>
      <w:pPr>
        <w:spacing w:line="360" w:lineRule="auto"/>
        <w:ind w:firstLine="480" w:firstLineChars="200"/>
        <w:rPr>
          <w:rFonts w:eastAsia="仿宋_GB2312" w:cs="Times New Roman"/>
        </w:rPr>
      </w:pPr>
      <w:r>
        <w:rPr>
          <w:rFonts w:hint="eastAsia" w:eastAsia="仿宋_GB2312" w:cs="Times New Roman"/>
        </w:rPr>
        <w:t>（1）NK63/3.2型纯凝式汽轮发电机组</w:t>
      </w:r>
    </w:p>
    <w:p>
      <w:pPr>
        <w:spacing w:line="360" w:lineRule="auto"/>
        <w:ind w:firstLine="480" w:firstLineChars="200"/>
        <w:jc w:val="center"/>
        <w:rPr>
          <w:rFonts w:eastAsia="仿宋_GB2312" w:cs="Times New Roman"/>
        </w:rPr>
      </w:pPr>
      <w:r>
        <w:drawing>
          <wp:inline distT="0" distB="0" distL="0" distR="0">
            <wp:extent cx="5615940" cy="2244090"/>
            <wp:effectExtent l="9525" t="9525" r="13335" b="13335"/>
            <wp:docPr id="48" name="图片 4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图片2.png图片2"/>
                    <pic:cNvPicPr>
                      <a:picLocks noChangeAspect="1"/>
                    </pic:cNvPicPr>
                  </pic:nvPicPr>
                  <pic:blipFill>
                    <a:blip r:embed="rId33"/>
                    <a:srcRect l="3914" t="4938" r="6602" b="6821"/>
                    <a:stretch>
                      <a:fillRect/>
                    </a:stretch>
                  </pic:blipFill>
                  <pic:spPr>
                    <a:xfrm>
                      <a:off x="0" y="0"/>
                      <a:ext cx="5616000" cy="2244518"/>
                    </a:xfrm>
                    <a:prstGeom prst="rect">
                      <a:avLst/>
                    </a:prstGeom>
                    <a:ln>
                      <a:solidFill>
                        <a:schemeClr val="tx1"/>
                      </a:solidFill>
                    </a:ln>
                  </pic:spPr>
                </pic:pic>
              </a:graphicData>
            </a:graphic>
          </wp:inline>
        </w:drawing>
      </w:r>
    </w:p>
    <w:p>
      <w:pPr>
        <w:spacing w:after="163" w:afterLines="50"/>
        <w:jc w:val="center"/>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图2.13 余热发电工艺流程图</w:t>
      </w:r>
    </w:p>
    <w:p>
      <w:pPr>
        <w:spacing w:line="360" w:lineRule="auto"/>
        <w:ind w:firstLine="480" w:firstLineChars="200"/>
        <w:rPr>
          <w:rFonts w:eastAsia="仿宋_GB2312" w:cs="Times New Roman"/>
        </w:rPr>
      </w:pPr>
      <w:r>
        <w:rPr>
          <w:rFonts w:hint="eastAsia" w:eastAsia="仿宋_GB2312" w:cs="Times New Roman"/>
        </w:rPr>
        <w:t>过热蒸汽由硫磺制酸项目产生，其中余热回收装置包括在硫磺制酸项目中。硫酸废热系统从焚硫炉、转化一段、转化三段、转化四段出口炉气中回收热量。</w:t>
      </w:r>
    </w:p>
    <w:p>
      <w:pPr>
        <w:spacing w:line="360" w:lineRule="auto"/>
        <w:ind w:firstLine="480" w:firstLineChars="200"/>
        <w:rPr>
          <w:rFonts w:eastAsia="仿宋_GB2312" w:cs="Times New Roman"/>
        </w:rPr>
      </w:pPr>
      <w:r>
        <w:rPr>
          <w:rFonts w:hint="eastAsia" w:eastAsia="仿宋_GB2312" w:cs="Times New Roman"/>
        </w:rPr>
        <w:t>由硫磺制酸项目产生的过热蒸汽通过过热蒸汽管进入汽轮机做功发电。经汽轮机做功后的乏汽进入凝汽器，乏汽在凝汽器中凝结成水后，经给水泵泵入硫酸项目的余热回收系统循环使用。如此完成一个工作循环。</w:t>
      </w:r>
    </w:p>
    <w:p>
      <w:pPr>
        <w:spacing w:line="360" w:lineRule="auto"/>
        <w:ind w:firstLine="482" w:firstLineChars="200"/>
        <w:rPr>
          <w:rFonts w:eastAsia="仿宋_GB2312" w:cs="Times New Roman"/>
          <w:b/>
        </w:rPr>
      </w:pPr>
      <w:r>
        <w:rPr>
          <w:rFonts w:hint="eastAsia" w:eastAsia="仿宋_GB2312" w:cs="Times New Roman"/>
          <w:b/>
        </w:rPr>
        <w:t>4．氯磺酸生产工艺介绍</w:t>
      </w:r>
    </w:p>
    <w:p>
      <w:pPr>
        <w:spacing w:line="360" w:lineRule="auto"/>
        <w:ind w:firstLine="480" w:firstLineChars="200"/>
        <w:rPr>
          <w:rFonts w:eastAsia="仿宋_GB2312" w:cs="Times New Roman"/>
        </w:rPr>
      </w:pPr>
      <w:r>
        <w:rPr>
          <w:rFonts w:hint="eastAsia" w:eastAsia="仿宋_GB2312" w:cs="Times New Roman"/>
        </w:rPr>
        <w:t>（1）工艺原理</w:t>
      </w:r>
    </w:p>
    <w:p>
      <w:pPr>
        <w:spacing w:line="360" w:lineRule="auto"/>
        <w:ind w:firstLine="480" w:firstLineChars="200"/>
        <w:rPr>
          <w:rFonts w:eastAsia="仿宋_GB2312" w:cs="Times New Roman"/>
        </w:rPr>
      </w:pPr>
      <w:r>
        <w:rPr>
          <w:rFonts w:hint="eastAsia" w:eastAsia="仿宋_GB2312" w:cs="Times New Roman"/>
        </w:rPr>
        <w:t>本项目主要工艺步骤为HCl气体和SO3气体反应生成氯磺酸，同时通过冷却分离、酸洗、水洗和碱洗得到副产品98%硫酸、30%盐酸和20%亚硫酸钠。反应方程式如下：</w:t>
      </w:r>
    </w:p>
    <w:p>
      <w:pPr>
        <w:spacing w:line="360" w:lineRule="auto"/>
        <w:ind w:firstLine="480" w:firstLineChars="200"/>
        <w:rPr>
          <w:rFonts w:eastAsia="仿宋_GB2312" w:cs="Times New Roman"/>
        </w:rPr>
      </w:pPr>
      <w:r>
        <w:rPr>
          <w:rFonts w:hint="eastAsia" w:eastAsia="仿宋_GB2312" w:cs="Times New Roman"/>
        </w:rPr>
        <w:t>SO</w:t>
      </w:r>
      <w:r>
        <w:rPr>
          <w:rFonts w:hint="eastAsia" w:eastAsia="仿宋_GB2312" w:cs="Times New Roman"/>
          <w:vertAlign w:val="subscript"/>
        </w:rPr>
        <w:t>3</w:t>
      </w:r>
      <w:r>
        <w:rPr>
          <w:rFonts w:hint="eastAsia" w:eastAsia="仿宋_GB2312" w:cs="Times New Roman"/>
        </w:rPr>
        <w:t>+HCl→HSO</w:t>
      </w:r>
      <w:r>
        <w:rPr>
          <w:rFonts w:hint="eastAsia" w:eastAsia="仿宋_GB2312" w:cs="Times New Roman"/>
          <w:vertAlign w:val="subscript"/>
        </w:rPr>
        <w:t>3</w:t>
      </w:r>
      <w:r>
        <w:rPr>
          <w:rFonts w:hint="eastAsia" w:eastAsia="仿宋_GB2312" w:cs="Times New Roman"/>
        </w:rPr>
        <w:t>Cl。</w:t>
      </w:r>
    </w:p>
    <w:p>
      <w:pPr>
        <w:spacing w:line="360" w:lineRule="auto"/>
        <w:ind w:firstLine="480" w:firstLineChars="200"/>
        <w:rPr>
          <w:rFonts w:eastAsia="仿宋_GB2312" w:cs="Times New Roman"/>
        </w:rPr>
      </w:pPr>
      <w:r>
        <w:rPr>
          <w:rFonts w:hint="eastAsia" w:eastAsia="仿宋_GB2312" w:cs="Times New Roman"/>
        </w:rPr>
        <w:t>（2）工艺流程</w:t>
      </w:r>
    </w:p>
    <w:p>
      <w:pPr>
        <w:spacing w:line="360" w:lineRule="auto"/>
        <w:ind w:firstLine="480" w:firstLineChars="200"/>
        <w:rPr>
          <w:rFonts w:eastAsia="仿宋_GB2312" w:cs="Times New Roman"/>
        </w:rPr>
      </w:pPr>
      <w:r>
        <w:rPr>
          <w:rFonts w:hint="eastAsia" w:eastAsia="仿宋_GB2312" w:cs="Times New Roman"/>
        </w:rPr>
        <w:t>其生产工艺流程及产污环节如下图：</w:t>
      </w:r>
    </w:p>
    <w:p>
      <w:pPr>
        <w:spacing w:line="360" w:lineRule="auto"/>
        <w:jc w:val="center"/>
        <w:rPr>
          <w:rFonts w:eastAsia="仿宋_GB2312" w:cs="Times New Roman"/>
        </w:rPr>
      </w:pPr>
      <w:bookmarkStart w:id="108" w:name="_MON_1430065366"/>
      <w:bookmarkEnd w:id="108"/>
      <w:bookmarkStart w:id="109" w:name="_MON_1429621106"/>
      <w:bookmarkEnd w:id="109"/>
      <w:bookmarkStart w:id="110" w:name="_MON_1430043152"/>
      <w:bookmarkEnd w:id="110"/>
      <w:bookmarkStart w:id="111" w:name="_MON_1429621035"/>
      <w:bookmarkEnd w:id="111"/>
      <w:r>
        <w:rPr>
          <w:rFonts w:ascii="宋体" w:hAnsi="宋体"/>
          <w:color w:val="00B050"/>
        </w:rPr>
        <w:object>
          <v:shape id="_x0000_i1029" o:spt="75" type="#_x0000_t75" style="height:243.15pt;width:476.15pt;" o:ole="t" filled="f" o:preferrelative="t" stroked="f" coordsize="21600,21600">
            <v:path/>
            <v:fill on="f" focussize="0,0"/>
            <v:stroke on="f" joinstyle="miter"/>
            <v:imagedata r:id="rId35" o:title=""/>
            <o:lock v:ext="edit" aspectratio="t"/>
            <w10:wrap type="none"/>
            <w10:anchorlock/>
          </v:shape>
          <o:OLEObject Type="Embed" ProgID="Word.Picture.8" ShapeID="_x0000_i1029" DrawAspect="Content" ObjectID="_1468075729" r:id="rId34">
            <o:LockedField>false</o:LockedField>
          </o:OLEObject>
        </w:object>
      </w:r>
    </w:p>
    <w:p>
      <w:pPr>
        <w:spacing w:after="163" w:afterLines="50"/>
        <w:jc w:val="center"/>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图2.14 氯磺酸生产工艺流程图</w:t>
      </w:r>
    </w:p>
    <w:p>
      <w:pPr>
        <w:spacing w:line="360" w:lineRule="auto"/>
        <w:ind w:firstLine="480" w:firstLineChars="200"/>
        <w:rPr>
          <w:rFonts w:eastAsia="仿宋_GB2312" w:cs="Times New Roman"/>
        </w:rPr>
      </w:pPr>
      <w:r>
        <w:rPr>
          <w:rFonts w:hint="eastAsia" w:eastAsia="仿宋_GB2312" w:cs="Times New Roman"/>
        </w:rPr>
        <w:t>（3）工艺流程说明</w:t>
      </w:r>
    </w:p>
    <w:p>
      <w:pPr>
        <w:spacing w:line="360" w:lineRule="auto"/>
        <w:ind w:firstLine="480" w:firstLineChars="200"/>
        <w:rPr>
          <w:rFonts w:eastAsia="仿宋_GB2312" w:cs="Times New Roman"/>
        </w:rPr>
      </w:pPr>
      <w:r>
        <w:rPr>
          <w:rFonts w:hint="eastAsia" w:eastAsia="仿宋_GB2312" w:cs="Times New Roman"/>
        </w:rPr>
        <w:t xml:space="preserve">1）氯化氢干燥 </w:t>
      </w:r>
    </w:p>
    <w:p>
      <w:pPr>
        <w:spacing w:line="360" w:lineRule="auto"/>
        <w:ind w:firstLine="480" w:firstLineChars="200"/>
        <w:rPr>
          <w:rFonts w:eastAsia="仿宋_GB2312" w:cs="Times New Roman"/>
        </w:rPr>
      </w:pPr>
      <w:r>
        <w:rPr>
          <w:rFonts w:hint="eastAsia" w:eastAsia="仿宋_GB2312" w:cs="Times New Roman"/>
        </w:rPr>
        <w:t>原料氯化氢来自公司氯碱装置，由于氯化氢气体含有一定量的水份，所以必须先将其经过除沫塔和干燥塔除去水份，经干燥后的氯化氢气体进入合成塔。</w:t>
      </w:r>
    </w:p>
    <w:p>
      <w:pPr>
        <w:spacing w:line="360" w:lineRule="auto"/>
        <w:ind w:firstLine="480" w:firstLineChars="200"/>
        <w:rPr>
          <w:rFonts w:eastAsia="仿宋_GB2312" w:cs="Times New Roman"/>
        </w:rPr>
      </w:pPr>
      <w:r>
        <w:rPr>
          <w:rFonts w:hint="eastAsia" w:eastAsia="仿宋_GB2312" w:cs="Times New Roman"/>
        </w:rPr>
        <w:t>氯化氢气体干燥采用98%的浓硫酸进行干燥，启动浓硫酸从硫磺制酸项目输送至本项目，干燥完成后，98%的浓硫酸吸收水分得到96%的硫酸，96%的硫酸回用于吸收SO3尾气。HCl气体干燥在密闭系统内干燥，所以不会有废气产生。</w:t>
      </w:r>
    </w:p>
    <w:p>
      <w:pPr>
        <w:spacing w:line="360" w:lineRule="auto"/>
        <w:ind w:firstLine="480" w:firstLineChars="200"/>
        <w:rPr>
          <w:rFonts w:eastAsia="仿宋_GB2312" w:cs="Times New Roman"/>
        </w:rPr>
      </w:pPr>
      <w:r>
        <w:rPr>
          <w:rFonts w:hint="eastAsia" w:eastAsia="仿宋_GB2312" w:cs="Times New Roman"/>
        </w:rPr>
        <w:t>2）合成反应、冷却分离</w:t>
      </w:r>
    </w:p>
    <w:p>
      <w:pPr>
        <w:spacing w:line="360" w:lineRule="auto"/>
        <w:ind w:firstLine="480" w:firstLineChars="200"/>
        <w:rPr>
          <w:rFonts w:eastAsia="仿宋_GB2312" w:cs="Times New Roman"/>
        </w:rPr>
      </w:pPr>
      <w:r>
        <w:rPr>
          <w:rFonts w:hint="eastAsia" w:eastAsia="仿宋_GB2312" w:cs="Times New Roman"/>
        </w:rPr>
        <w:t>原料三氧化硫来自企业二期工程硫酸装置，其气体为三氧化硫和二氧化硫的混合气体，通入合成塔与氯化氢气体进行合成反应。反应后的气体进入多级冷凝分离器，以分离冷凝后的氯磺酸（液态）和尚未反应的部分三氧化硫，这部分气体再循环回到合成塔继续与氯化氢反应，以充分提高收率。成品氯磺酸流入地槽，再通过管道输送至贮罐储存。</w:t>
      </w:r>
    </w:p>
    <w:p>
      <w:pPr>
        <w:spacing w:line="360" w:lineRule="auto"/>
        <w:ind w:firstLine="480" w:firstLineChars="200"/>
        <w:rPr>
          <w:rFonts w:eastAsia="仿宋_GB2312" w:cs="Times New Roman"/>
        </w:rPr>
      </w:pPr>
      <w:r>
        <w:rPr>
          <w:rFonts w:hint="eastAsia" w:eastAsia="仿宋_GB2312" w:cs="Times New Roman"/>
        </w:rPr>
        <w:t>3）酸洗、水洗、碱洗</w:t>
      </w:r>
    </w:p>
    <w:p>
      <w:pPr>
        <w:spacing w:line="360" w:lineRule="auto"/>
        <w:ind w:firstLine="480" w:firstLineChars="200"/>
        <w:rPr>
          <w:rFonts w:eastAsia="仿宋_GB2312" w:cs="Times New Roman"/>
        </w:rPr>
      </w:pPr>
      <w:r>
        <w:rPr>
          <w:rFonts w:hint="eastAsia" w:eastAsia="仿宋_GB2312" w:cs="Times New Roman"/>
        </w:rPr>
        <w:t>经冷凝器分离后的尾气进入3座串联的酸洗塔，用硫酸充分吸收混合气体中的三氧化硫，制成硫酸输送至一期工程的硫酸贮罐。</w:t>
      </w:r>
    </w:p>
    <w:p>
      <w:pPr>
        <w:spacing w:line="360" w:lineRule="auto"/>
        <w:ind w:firstLine="480" w:firstLineChars="200"/>
        <w:rPr>
          <w:rFonts w:eastAsia="仿宋_GB2312" w:cs="Times New Roman"/>
        </w:rPr>
      </w:pPr>
      <w:r>
        <w:rPr>
          <w:rFonts w:hint="eastAsia" w:eastAsia="仿宋_GB2312" w:cs="Times New Roman"/>
        </w:rPr>
        <w:t>经硫酸吸收后的尾气再进入水洗塔，由水吸收氯化氢制成盐酸，输送至氯碱装置内的盐酸贮罐。</w:t>
      </w:r>
    </w:p>
    <w:p>
      <w:pPr>
        <w:spacing w:line="360" w:lineRule="auto"/>
        <w:ind w:firstLine="480" w:firstLineChars="200"/>
        <w:rPr>
          <w:rFonts w:eastAsia="仿宋_GB2312" w:cs="Times New Roman"/>
        </w:rPr>
      </w:pPr>
      <w:r>
        <w:rPr>
          <w:rFonts w:hint="eastAsia" w:eastAsia="仿宋_GB2312" w:cs="Times New Roman"/>
        </w:rPr>
        <w:t>最后，经水洗后的尾气进入2座串联的碱水洗涤塔，用液碱洗涤气体并同二氧化硫反应生成亚硫酸钠溶液，输送氯碱项目装置内的亚硫酸钠贮罐。</w:t>
      </w:r>
    </w:p>
    <w:p>
      <w:pPr>
        <w:spacing w:line="360" w:lineRule="auto"/>
        <w:ind w:firstLine="480" w:firstLineChars="200"/>
        <w:rPr>
          <w:rFonts w:eastAsia="仿宋_GB2312" w:cs="Times New Roman"/>
        </w:rPr>
      </w:pPr>
      <w:r>
        <w:rPr>
          <w:rFonts w:hint="eastAsia" w:eastAsia="仿宋_GB2312" w:cs="Times New Roman"/>
        </w:rPr>
        <w:t>4）尾气最后处理</w:t>
      </w:r>
    </w:p>
    <w:p>
      <w:pPr>
        <w:spacing w:line="360" w:lineRule="auto"/>
        <w:ind w:firstLine="480" w:firstLineChars="200"/>
        <w:rPr>
          <w:rFonts w:eastAsia="仿宋_GB2312" w:cs="Times New Roman"/>
        </w:rPr>
      </w:pPr>
      <w:r>
        <w:rPr>
          <w:rFonts w:hint="eastAsia" w:eastAsia="仿宋_GB2312" w:cs="Times New Roman"/>
        </w:rPr>
        <w:t>经过合成、酸洗、水洗、碱洗各工序的作业，少量含氯化氢、三氧化硫、二氧化硫的尾气经过除雾塔除雾处理后达标排放。</w:t>
      </w:r>
    </w:p>
    <w:p>
      <w:pPr>
        <w:spacing w:line="360" w:lineRule="auto"/>
        <w:ind w:firstLine="482" w:firstLineChars="200"/>
        <w:rPr>
          <w:rFonts w:eastAsia="仿宋_GB2312" w:cs="Times New Roman"/>
          <w:b/>
        </w:rPr>
      </w:pPr>
      <w:r>
        <w:rPr>
          <w:rFonts w:hint="eastAsia" w:eastAsia="仿宋_GB2312" w:cs="Times New Roman"/>
          <w:b/>
        </w:rPr>
        <w:t>5．发烟硫酸生产工艺介绍</w:t>
      </w:r>
    </w:p>
    <w:p>
      <w:pPr>
        <w:spacing w:line="360" w:lineRule="auto"/>
        <w:ind w:firstLine="480" w:firstLineChars="200"/>
        <w:rPr>
          <w:rFonts w:eastAsia="仿宋_GB2312" w:cs="Times New Roman"/>
        </w:rPr>
      </w:pPr>
      <w:r>
        <w:rPr>
          <w:rFonts w:hint="eastAsia" w:eastAsia="仿宋_GB2312" w:cs="Times New Roman"/>
        </w:rPr>
        <w:t>以进口液体硫磺为原料，液体硫磺用泵加压机械雾化焚烧，“3＋1”两转两吸工艺，工艺过程采用DCS系统控制。</w:t>
      </w:r>
    </w:p>
    <w:p>
      <w:pPr>
        <w:spacing w:line="360" w:lineRule="auto"/>
        <w:ind w:firstLine="480" w:firstLineChars="200"/>
        <w:rPr>
          <w:rFonts w:eastAsia="仿宋_GB2312" w:cs="Times New Roman"/>
        </w:rPr>
      </w:pPr>
      <w:r>
        <w:rPr>
          <w:rFonts w:hint="eastAsia" w:eastAsia="仿宋_GB2312" w:cs="Times New Roman"/>
        </w:rPr>
        <w:t xml:space="preserve">（1）主要化学反应方程式 </w:t>
      </w:r>
    </w:p>
    <w:p>
      <w:pPr>
        <w:spacing w:line="360" w:lineRule="auto"/>
        <w:ind w:firstLine="480" w:firstLineChars="200"/>
        <w:rPr>
          <w:rFonts w:eastAsia="仿宋_GB2312" w:cs="Times New Roman"/>
        </w:rPr>
      </w:pPr>
      <w:r>
        <w:rPr>
          <w:rFonts w:hint="eastAsia" w:eastAsia="仿宋_GB2312" w:cs="Times New Roman"/>
        </w:rPr>
        <w:t>硫磺制酸项目主要工艺步骤包括：硫磺在空气中燃烧形成二氧化硫，二氧化硫和氧气结合生成三氧化硫，SO</w:t>
      </w:r>
      <w:r>
        <w:rPr>
          <w:rFonts w:hint="eastAsia" w:eastAsia="仿宋_GB2312" w:cs="Times New Roman"/>
          <w:vertAlign w:val="subscript"/>
        </w:rPr>
        <w:t>3</w:t>
      </w:r>
      <w:r>
        <w:rPr>
          <w:rFonts w:hint="eastAsia" w:eastAsia="仿宋_GB2312" w:cs="Times New Roman"/>
        </w:rPr>
        <w:t>再结合水分形成硫酸，硫酸吸收三氧化硫形成烟酸。其过程发生的化学反应如下：</w:t>
      </w:r>
    </w:p>
    <w:p>
      <w:pPr>
        <w:spacing w:line="360" w:lineRule="auto"/>
        <w:jc w:val="center"/>
        <w:rPr>
          <w:rFonts w:eastAsia="仿宋_GB2312" w:cs="Times New Roman"/>
        </w:rPr>
      </w:pPr>
      <w:r>
        <w:rPr>
          <w:rFonts w:eastAsia="仿宋_GB2312" w:cs="Times New Roman"/>
        </w:rPr>
        <w:t>S + O</w:t>
      </w:r>
      <w:r>
        <w:rPr>
          <w:rFonts w:eastAsia="仿宋_GB2312" w:cs="Times New Roman"/>
          <w:vertAlign w:val="subscript"/>
        </w:rPr>
        <w:t>2</w:t>
      </w:r>
      <w:r>
        <w:rPr>
          <w:rFonts w:eastAsia="仿宋_GB2312" w:cs="Times New Roman"/>
        </w:rPr>
        <w:t>=SO2 +Q</w:t>
      </w:r>
      <w:r>
        <w:rPr>
          <w:rFonts w:hint="eastAsia" w:eastAsia="仿宋_GB2312" w:cs="Times New Roman"/>
        </w:rPr>
        <w:t xml:space="preserve">  </w:t>
      </w:r>
      <w:r>
        <w:rPr>
          <w:rFonts w:eastAsia="仿宋_GB2312" w:cs="Times New Roman"/>
        </w:rPr>
        <w:tab/>
      </w:r>
      <w:r>
        <w:rPr>
          <w:rFonts w:hint="eastAsia" w:eastAsia="仿宋_GB2312" w:cs="Times New Roman"/>
        </w:rPr>
        <w:t xml:space="preserve">       </w:t>
      </w:r>
      <w:r>
        <w:rPr>
          <w:rFonts w:eastAsia="仿宋_GB2312" w:cs="Times New Roman"/>
        </w:rPr>
        <w:t>SO</w:t>
      </w:r>
      <w:r>
        <w:rPr>
          <w:rFonts w:eastAsia="仿宋_GB2312" w:cs="Times New Roman"/>
          <w:vertAlign w:val="subscript"/>
        </w:rPr>
        <w:t>2</w:t>
      </w:r>
      <w:r>
        <w:rPr>
          <w:rFonts w:eastAsia="仿宋_GB2312" w:cs="Times New Roman"/>
        </w:rPr>
        <w:t xml:space="preserve"> + 1/2O</w:t>
      </w:r>
      <w:r>
        <w:rPr>
          <w:rFonts w:eastAsia="仿宋_GB2312" w:cs="Times New Roman"/>
          <w:vertAlign w:val="subscript"/>
        </w:rPr>
        <w:t>2</w:t>
      </w:r>
      <w:r>
        <w:rPr>
          <w:rFonts w:eastAsia="仿宋_GB2312" w:cs="Times New Roman"/>
        </w:rPr>
        <w:t>=SO</w:t>
      </w:r>
      <w:r>
        <w:rPr>
          <w:rFonts w:eastAsia="仿宋_GB2312" w:cs="Times New Roman"/>
          <w:vertAlign w:val="subscript"/>
        </w:rPr>
        <w:t>3</w:t>
      </w:r>
    </w:p>
    <w:p>
      <w:pPr>
        <w:spacing w:line="360" w:lineRule="auto"/>
        <w:jc w:val="center"/>
        <w:rPr>
          <w:rFonts w:eastAsia="仿宋_GB2312" w:cs="Times New Roman"/>
        </w:rPr>
      </w:pPr>
      <w:r>
        <w:rPr>
          <w:rFonts w:eastAsia="仿宋_GB2312" w:cs="Times New Roman"/>
        </w:rPr>
        <w:t>SO</w:t>
      </w:r>
      <w:r>
        <w:rPr>
          <w:rFonts w:eastAsia="仿宋_GB2312" w:cs="Times New Roman"/>
          <w:vertAlign w:val="subscript"/>
        </w:rPr>
        <w:t>3</w:t>
      </w:r>
      <w:r>
        <w:rPr>
          <w:rFonts w:eastAsia="仿宋_GB2312" w:cs="Times New Roman"/>
        </w:rPr>
        <w:t xml:space="preserve"> + H2O=H</w:t>
      </w:r>
      <w:r>
        <w:rPr>
          <w:rFonts w:eastAsia="仿宋_GB2312" w:cs="Times New Roman"/>
          <w:vertAlign w:val="subscript"/>
        </w:rPr>
        <w:t>2</w:t>
      </w:r>
      <w:r>
        <w:rPr>
          <w:rFonts w:eastAsia="仿宋_GB2312" w:cs="Times New Roman"/>
        </w:rPr>
        <w:t>SO</w:t>
      </w:r>
      <w:r>
        <w:rPr>
          <w:rFonts w:eastAsia="仿宋_GB2312" w:cs="Times New Roman"/>
          <w:vertAlign w:val="subscript"/>
        </w:rPr>
        <w:t>4</w:t>
      </w:r>
      <w:r>
        <w:rPr>
          <w:rFonts w:eastAsia="仿宋_GB2312" w:cs="Times New Roman"/>
        </w:rPr>
        <w:tab/>
      </w:r>
      <w:r>
        <w:rPr>
          <w:rFonts w:hint="eastAsia" w:eastAsia="仿宋_GB2312" w:cs="Times New Roman"/>
        </w:rPr>
        <w:t xml:space="preserve">       </w:t>
      </w:r>
      <w:r>
        <w:rPr>
          <w:rFonts w:eastAsia="仿宋_GB2312" w:cs="Times New Roman"/>
        </w:rPr>
        <w:t>H</w:t>
      </w:r>
      <w:r>
        <w:rPr>
          <w:rFonts w:eastAsia="仿宋_GB2312" w:cs="Times New Roman"/>
          <w:vertAlign w:val="subscript"/>
        </w:rPr>
        <w:t>2</w:t>
      </w:r>
      <w:r>
        <w:rPr>
          <w:rFonts w:eastAsia="仿宋_GB2312" w:cs="Times New Roman"/>
        </w:rPr>
        <w:t>SO</w:t>
      </w:r>
      <w:r>
        <w:rPr>
          <w:rFonts w:eastAsia="仿宋_GB2312" w:cs="Times New Roman"/>
          <w:vertAlign w:val="subscript"/>
        </w:rPr>
        <w:t>4</w:t>
      </w:r>
      <w:r>
        <w:rPr>
          <w:rFonts w:eastAsia="仿宋_GB2312" w:cs="Times New Roman"/>
        </w:rPr>
        <w:t>+ SO</w:t>
      </w:r>
      <w:r>
        <w:rPr>
          <w:rFonts w:eastAsia="仿宋_GB2312" w:cs="Times New Roman"/>
          <w:vertAlign w:val="subscript"/>
        </w:rPr>
        <w:t>3</w:t>
      </w:r>
      <w:r>
        <w:rPr>
          <w:rFonts w:eastAsia="仿宋_GB2312" w:cs="Times New Roman"/>
        </w:rPr>
        <w:t>= H</w:t>
      </w:r>
      <w:r>
        <w:rPr>
          <w:rFonts w:eastAsia="仿宋_GB2312" w:cs="Times New Roman"/>
          <w:vertAlign w:val="subscript"/>
        </w:rPr>
        <w:t>2</w:t>
      </w:r>
      <w:r>
        <w:rPr>
          <w:rFonts w:eastAsia="仿宋_GB2312" w:cs="Times New Roman"/>
        </w:rPr>
        <w:t>SO</w:t>
      </w:r>
      <w:r>
        <w:rPr>
          <w:rFonts w:eastAsia="仿宋_GB2312" w:cs="Times New Roman"/>
          <w:vertAlign w:val="subscript"/>
        </w:rPr>
        <w:t>4</w:t>
      </w:r>
      <w:r>
        <w:rPr>
          <w:rFonts w:eastAsia="仿宋_GB2312" w:cs="Times New Roman"/>
        </w:rPr>
        <w:t>•SO</w:t>
      </w:r>
      <w:r>
        <w:rPr>
          <w:rFonts w:eastAsia="仿宋_GB2312" w:cs="Times New Roman"/>
          <w:vertAlign w:val="subscript"/>
        </w:rPr>
        <w:t>3</w:t>
      </w:r>
    </w:p>
    <w:p>
      <w:pPr>
        <w:spacing w:line="360" w:lineRule="auto"/>
        <w:ind w:firstLine="480" w:firstLineChars="200"/>
        <w:rPr>
          <w:rFonts w:eastAsia="仿宋_GB2312" w:cs="Times New Roman"/>
        </w:rPr>
      </w:pPr>
      <w:r>
        <w:rPr>
          <w:rFonts w:hint="eastAsia" w:eastAsia="仿宋_GB2312" w:cs="Times New Roman"/>
        </w:rPr>
        <w:t>（2） 工艺流程：</w:t>
      </w:r>
    </w:p>
    <w:p>
      <w:pPr>
        <w:spacing w:line="360" w:lineRule="auto"/>
        <w:ind w:firstLine="480" w:firstLineChars="200"/>
        <w:rPr>
          <w:rFonts w:eastAsia="仿宋_GB2312" w:cs="Times New Roman"/>
        </w:rPr>
      </w:pPr>
      <w:r>
        <w:rPr>
          <w:rFonts w:hint="eastAsia" w:eastAsia="仿宋_GB2312" w:cs="Times New Roman"/>
        </w:rPr>
        <w:t xml:space="preserve">1）焚硫转化工段 </w:t>
      </w:r>
    </w:p>
    <w:p>
      <w:pPr>
        <w:spacing w:line="360" w:lineRule="auto"/>
        <w:ind w:firstLine="480" w:firstLineChars="200"/>
        <w:rPr>
          <w:rFonts w:eastAsia="仿宋_GB2312" w:cs="Times New Roman"/>
        </w:rPr>
      </w:pPr>
      <w:r>
        <w:rPr>
          <w:rFonts w:hint="eastAsia" w:eastAsia="仿宋_GB2312" w:cs="Times New Roman"/>
        </w:rPr>
        <w:t>液体硫磺经精硫泵，通过机械喷嘴雾化后连续喷入焚硫炉内，与干燥空气混合后进行燃烧，生成含11％SO</w:t>
      </w:r>
      <w:r>
        <w:rPr>
          <w:rFonts w:hint="eastAsia" w:eastAsia="仿宋_GB2312" w:cs="Times New Roman"/>
          <w:vertAlign w:val="subscript"/>
        </w:rPr>
        <w:t>2</w:t>
      </w:r>
      <w:r>
        <w:rPr>
          <w:rFonts w:hint="eastAsia" w:eastAsia="仿宋_GB2312" w:cs="Times New Roman"/>
        </w:rPr>
        <w:t>，温度～1100℃高温炉气。经中压废热锅炉回收高温热量，使炉气温度降至380－390℃，补充适量高温烟气后使炉气温度达到420℃，SO</w:t>
      </w:r>
      <w:r>
        <w:rPr>
          <w:rFonts w:hint="eastAsia" w:eastAsia="仿宋_GB2312" w:cs="Times New Roman"/>
          <w:vertAlign w:val="subscript"/>
        </w:rPr>
        <w:t>2</w:t>
      </w:r>
      <w:r>
        <w:rPr>
          <w:rFonts w:hint="eastAsia" w:eastAsia="仿宋_GB2312" w:cs="Times New Roman"/>
        </w:rPr>
        <w:t>浓度11％进入转化器第一段催化剂层。炉气经反应升温后进入一段蒸汽过热器换热冷却 445℃进入第二段催化剂层反应， 从二段出来的气体换热冷却至445℃后进入第三段催化剂层反应，出三段的 炉气经换热冷却至184℃，同时进入发烟酸吸收塔和一吸塔，在三段省煤器 进口和出口分别抽出部分SO3气体，使温度调节到260℃左右作为生产氯磺 酸的原料。SO</w:t>
      </w:r>
      <w:r>
        <w:rPr>
          <w:rFonts w:hint="eastAsia" w:eastAsia="仿宋_GB2312" w:cs="Times New Roman"/>
          <w:vertAlign w:val="subscript"/>
        </w:rPr>
        <w:t>3</w:t>
      </w:r>
      <w:r>
        <w:rPr>
          <w:rFonts w:hint="eastAsia" w:eastAsia="仿宋_GB2312" w:cs="Times New Roman"/>
        </w:rPr>
        <w:t>被吸收后的炉气加热至420℃左右进入转化器第四段催化剂层反应，出四段炉气通过省煤器换热后进入二吸塔进行二次吸收。</w:t>
      </w:r>
    </w:p>
    <w:p>
      <w:pPr>
        <w:spacing w:line="360" w:lineRule="auto"/>
        <w:ind w:firstLine="480" w:firstLineChars="200"/>
        <w:rPr>
          <w:rFonts w:eastAsia="仿宋_GB2312" w:cs="Times New Roman"/>
        </w:rPr>
      </w:pPr>
      <w:r>
        <w:rPr>
          <w:rFonts w:hint="eastAsia" w:eastAsia="仿宋_GB2312" w:cs="Times New Roman"/>
        </w:rPr>
        <w:t>2）干吸及成品工段</w:t>
      </w:r>
    </w:p>
    <w:p>
      <w:pPr>
        <w:spacing w:line="360" w:lineRule="auto"/>
        <w:ind w:firstLine="480" w:firstLineChars="200"/>
        <w:rPr>
          <w:rFonts w:eastAsia="仿宋_GB2312" w:cs="Times New Roman"/>
        </w:rPr>
      </w:pPr>
      <w:r>
        <w:rPr>
          <w:rFonts w:hint="eastAsia" w:eastAsia="仿宋_GB2312" w:cs="Times New Roman"/>
        </w:rPr>
        <w:t>空气经空气过滤器进入干燥塔，塔内用 96%硫酸吸收空气中水份，并经塔顶除雾器除去酸沫后，经压缩升温后送到焚硫炉。</w:t>
      </w:r>
    </w:p>
    <w:p>
      <w:pPr>
        <w:spacing w:line="360" w:lineRule="auto"/>
        <w:ind w:firstLine="480" w:firstLineChars="200"/>
        <w:rPr>
          <w:rFonts w:eastAsia="仿宋_GB2312" w:cs="Times New Roman"/>
        </w:rPr>
      </w:pPr>
      <w:r>
        <w:rPr>
          <w:rFonts w:hint="eastAsia" w:eastAsia="仿宋_GB2312" w:cs="Times New Roman"/>
        </w:rPr>
        <w:t>干燥和吸收酸循环系统均采用泵后冷却流程，即塔→槽→泵→酸冷却器→ 塔的循环过程。</w:t>
      </w:r>
    </w:p>
    <w:p>
      <w:pPr>
        <w:spacing w:line="360" w:lineRule="auto"/>
        <w:ind w:firstLine="480" w:firstLineChars="200"/>
        <w:rPr>
          <w:rFonts w:eastAsia="仿宋_GB2312" w:cs="Times New Roman"/>
        </w:rPr>
      </w:pPr>
      <w:r>
        <w:rPr>
          <w:rFonts w:hint="eastAsia" w:eastAsia="仿宋_GB2312" w:cs="Times New Roman"/>
        </w:rPr>
        <w:t>通过引入一吸收塔酸冷却器后的98.3％酸来调节干燥酸浓度，二个吸收塔的酸浓通过加入干燥酸冷却器的干燥酸和加水调节。</w:t>
      </w:r>
    </w:p>
    <w:p>
      <w:pPr>
        <w:spacing w:line="360" w:lineRule="auto"/>
        <w:ind w:firstLine="480" w:firstLineChars="200"/>
        <w:rPr>
          <w:rFonts w:eastAsia="仿宋_GB2312" w:cs="Times New Roman"/>
        </w:rPr>
      </w:pPr>
      <w:r>
        <w:rPr>
          <w:rFonts w:hint="eastAsia" w:eastAsia="仿宋_GB2312" w:cs="Times New Roman"/>
        </w:rPr>
        <w:t>一次转化后的气体，一部分进入烟酸塔，塔内用104.5％发烟硫酸淋洒，吸收其中一部分SO</w:t>
      </w:r>
      <w:r>
        <w:rPr>
          <w:rFonts w:hint="eastAsia" w:eastAsia="仿宋_GB2312" w:cs="Times New Roman"/>
          <w:vertAlign w:val="subscript"/>
        </w:rPr>
        <w:t>3</w:t>
      </w:r>
      <w:r>
        <w:rPr>
          <w:rFonts w:hint="eastAsia" w:eastAsia="仿宋_GB2312" w:cs="Times New Roman"/>
        </w:rPr>
        <w:t>后的气体并入一吸塔进口。一次转化气大部分直接进入一吸收塔，该塔用98.3％硫酸淋洒，以吸收气体中SO</w:t>
      </w:r>
      <w:r>
        <w:rPr>
          <w:rFonts w:hint="eastAsia" w:eastAsia="仿宋_GB2312" w:cs="Times New Roman"/>
          <w:vertAlign w:val="subscript"/>
        </w:rPr>
        <w:t>3</w:t>
      </w:r>
      <w:r>
        <w:rPr>
          <w:rFonts w:hint="eastAsia" w:eastAsia="仿宋_GB2312" w:cs="Times New Roman"/>
        </w:rPr>
        <w:t>，吸收后的气体去转化器第四段催化剂层进行第二次转化。</w:t>
      </w:r>
    </w:p>
    <w:p>
      <w:pPr>
        <w:spacing w:line="360" w:lineRule="auto"/>
        <w:ind w:firstLine="480" w:firstLineChars="200"/>
        <w:rPr>
          <w:rFonts w:eastAsia="仿宋_GB2312" w:cs="Times New Roman"/>
        </w:rPr>
      </w:pPr>
      <w:r>
        <w:rPr>
          <w:rFonts w:hint="eastAsia" w:eastAsia="仿宋_GB2312" w:cs="Times New Roman"/>
        </w:rPr>
        <w:t>经二次转化后的气体，进入二吸塔，塔内用98.3％硫酸淋洒吸收SO</w:t>
      </w:r>
      <w:r>
        <w:rPr>
          <w:rFonts w:hint="eastAsia" w:eastAsia="仿宋_GB2312" w:cs="Times New Roman"/>
          <w:vertAlign w:val="subscript"/>
        </w:rPr>
        <w:t>3</w:t>
      </w:r>
      <w:r>
        <w:rPr>
          <w:rFonts w:hint="eastAsia" w:eastAsia="仿宋_GB2312" w:cs="Times New Roman"/>
        </w:rPr>
        <w:t>后的尾气经63米烟囱放空。104.5％成品发烟硫酸，在冷却器出口引出。</w:t>
      </w:r>
    </w:p>
    <w:p>
      <w:pPr>
        <w:spacing w:line="360" w:lineRule="auto"/>
        <w:jc w:val="center"/>
        <w:rPr>
          <w:rFonts w:eastAsia="仿宋_GB2312" w:cs="Times New Roman"/>
        </w:rPr>
      </w:pPr>
      <w:r>
        <w:rPr>
          <w:position w:val="-74"/>
          <w:sz w:val="20"/>
        </w:rPr>
        <w:drawing>
          <wp:inline distT="0" distB="0" distL="0" distR="0">
            <wp:extent cx="5615940" cy="3251835"/>
            <wp:effectExtent l="9525" t="9525" r="13335" b="15240"/>
            <wp:docPr id="50" name="image13.jpeg"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jpeg" descr="C:\Users\Administrator\Desktop\图片4.png图片4"/>
                    <pic:cNvPicPr>
                      <a:picLocks noChangeAspect="1"/>
                    </pic:cNvPicPr>
                  </pic:nvPicPr>
                  <pic:blipFill>
                    <a:blip r:embed="rId36"/>
                    <a:srcRect/>
                    <a:stretch>
                      <a:fillRect/>
                    </a:stretch>
                  </pic:blipFill>
                  <pic:spPr>
                    <a:xfrm>
                      <a:off x="0" y="0"/>
                      <a:ext cx="5616000" cy="3252293"/>
                    </a:xfrm>
                    <a:prstGeom prst="rect">
                      <a:avLst/>
                    </a:prstGeom>
                    <a:ln>
                      <a:solidFill>
                        <a:schemeClr val="tx1"/>
                      </a:solidFill>
                    </a:ln>
                  </pic:spPr>
                </pic:pic>
              </a:graphicData>
            </a:graphic>
          </wp:inline>
        </w:drawing>
      </w:r>
    </w:p>
    <w:p>
      <w:pPr>
        <w:spacing w:after="163" w:afterLines="50"/>
        <w:jc w:val="center"/>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图2.15 发烟硫酸生产工艺流程图</w:t>
      </w:r>
    </w:p>
    <w:p>
      <w:pPr>
        <w:spacing w:before="163" w:beforeLines="50" w:line="360" w:lineRule="auto"/>
        <w:ind w:firstLine="480" w:firstLineChars="200"/>
        <w:rPr>
          <w:rFonts w:eastAsia="仿宋" w:cs="Times New Roman"/>
        </w:rPr>
      </w:pPr>
      <w:r>
        <w:rPr>
          <w:rFonts w:eastAsia="仿宋" w:cs="Times New Roman"/>
        </w:rPr>
        <w:t>高危工艺判定结果： 通过分析，企业生产工艺中的电解工艺（氯碱）属于《重点监管危险化工工艺目录》中的重点监管危险工艺，无国家规定限期淘汰的工艺名录和设备。</w:t>
      </w:r>
    </w:p>
    <w:p>
      <w:pPr>
        <w:spacing w:line="360" w:lineRule="auto"/>
        <w:ind w:firstLine="480" w:firstLineChars="200"/>
        <w:rPr>
          <w:rFonts w:eastAsia="仿宋" w:cs="Times New Roman"/>
        </w:rPr>
      </w:pPr>
      <w:r>
        <w:rPr>
          <w:rFonts w:eastAsia="仿宋" w:cs="Times New Roman"/>
        </w:rPr>
        <w:t>针对企业内存在的高危工艺，采取以下安全措施：企业将将电解槽内压力、槽电压等形成联锁关系，系统设立联锁停车系统。并采取安全设施，包括安全阀、高压阀、紧急排放阀、液位计、单向阀及紧急切断装置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en-US" w:eastAsia="zh-CN" w:bidi="ar-SA"/>
        </w:rPr>
      </w:pP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12" w:name="2.5.5 企业污染物产生及治理情况"/>
      <w:bookmarkEnd w:id="112"/>
      <w:bookmarkStart w:id="113" w:name="2.5.5 企业污染物产生及治理情况"/>
      <w:bookmarkEnd w:id="113"/>
      <w:bookmarkStart w:id="114" w:name="_Toc27908"/>
      <w:bookmarkStart w:id="115" w:name="_Toc9574"/>
      <w:r>
        <w:rPr>
          <w:rFonts w:hint="eastAsia" w:ascii="Times New Roman" w:hAnsi="Times New Roman" w:eastAsia="仿宋_GB2312" w:cs="Times New Roman"/>
          <w:color w:val="auto"/>
          <w:kern w:val="2"/>
          <w:sz w:val="24"/>
          <w:szCs w:val="24"/>
          <w:lang w:val="en-US" w:eastAsia="zh-CN" w:bidi="ar-SA"/>
        </w:rPr>
        <w:t>2.5.5企业污染物产生及治理情况</w:t>
      </w:r>
      <w:bookmarkEnd w:id="114"/>
      <w:bookmarkEnd w:id="115"/>
    </w:p>
    <w:p>
      <w:pPr>
        <w:spacing w:line="360" w:lineRule="auto"/>
        <w:ind w:firstLine="480" w:firstLineChars="200"/>
        <w:rPr>
          <w:rFonts w:eastAsia="仿宋_GB2312" w:cs="Times New Roman"/>
        </w:rPr>
      </w:pPr>
      <w:bookmarkStart w:id="116" w:name="2.5.6 环境功能区环境质量标准、排放标准"/>
      <w:bookmarkEnd w:id="116"/>
      <w:bookmarkStart w:id="117" w:name="2.5.5.1 废气"/>
      <w:bookmarkEnd w:id="117"/>
      <w:bookmarkStart w:id="118" w:name="2.5.6 环境功能区环境质量标准、排放标准"/>
      <w:bookmarkEnd w:id="118"/>
      <w:bookmarkStart w:id="119" w:name="2.5.5.1 废气"/>
      <w:bookmarkEnd w:id="119"/>
      <w:bookmarkStart w:id="120" w:name="_Toc23043"/>
      <w:r>
        <w:rPr>
          <w:rFonts w:hint="eastAsia" w:eastAsia="仿宋_GB2312" w:cs="Times New Roman"/>
        </w:rPr>
        <w:t>公司自建厂伊始就在工艺设计、过程控制、设备选型、生产管理、污染物处理与排放等方面融入清洁生产、循环经济和环境保护的思想和理念，力求从源头和多个方面和层次上减少污染物的产生和排放。公司建有完备的具有国际先进水平的废气、污水控制系统和其他环保设施，自建厂以来至今一切运行正常。</w:t>
      </w:r>
    </w:p>
    <w:p>
      <w:pPr>
        <w:spacing w:line="360" w:lineRule="auto"/>
        <w:ind w:firstLine="482" w:firstLineChars="200"/>
        <w:rPr>
          <w:rFonts w:eastAsia="仿宋_GB2312" w:cs="Times New Roman"/>
          <w:b/>
        </w:rPr>
      </w:pPr>
      <w:r>
        <w:rPr>
          <w:rFonts w:hint="eastAsia" w:eastAsia="仿宋_GB2312" w:cs="Times New Roman"/>
          <w:b/>
        </w:rPr>
        <w:t>1．废气收集、处理与排放</w:t>
      </w:r>
    </w:p>
    <w:p>
      <w:pPr>
        <w:spacing w:line="360" w:lineRule="auto"/>
        <w:ind w:firstLine="480" w:firstLineChars="200"/>
        <w:rPr>
          <w:rFonts w:eastAsia="仿宋_GB2312" w:cs="Times New Roman"/>
        </w:rPr>
      </w:pPr>
      <w:r>
        <w:rPr>
          <w:rFonts w:hint="eastAsia" w:eastAsia="仿宋_GB2312" w:cs="Times New Roman"/>
        </w:rPr>
        <w:t>公司废气主要是硫磺制酸项目吸收塔尾气，氯系列产品项目吸收塔尾气和氯处理工段事故尾气。</w:t>
      </w:r>
    </w:p>
    <w:p>
      <w:pPr>
        <w:spacing w:line="360" w:lineRule="auto"/>
        <w:ind w:firstLine="480" w:firstLineChars="200"/>
        <w:rPr>
          <w:rFonts w:eastAsia="仿宋_GB2312" w:cs="Times New Roman"/>
        </w:rPr>
      </w:pPr>
      <w:r>
        <w:rPr>
          <w:rFonts w:hint="eastAsia" w:eastAsia="仿宋_GB2312" w:cs="Times New Roman"/>
        </w:rPr>
        <w:t>其中：（1）硫酸生产装置产生的废气采用经动力波烟气洗涤塔（去除效率 85%）处理后气体通过100米高烟囱有组织排放。动力波烟气洗涤采用双氧水作为脱硫剂脱除硫酸尾气中的二氧化硫。将浓度15%的双氧水和软水通过逆喷循环泵提升至动力波塔逆喷管中，吸收剂双氧水在逆喷管中和含有二氧化硫的硫酸尾气逆向接触。泡沫区使液滴不断的冷却和更新，迅速冷却烟气和吸收二氧化硫，接触后的液体进入塔底，再通过稀硫酸排液泵将稀硫酸排出进入稀硫酸贮槽，然后通过稀硫酸输送泵返回制酸系统中进行回用。吸收后的烟气通过填料层进一步的吸收去除二氧化硫，然后烟气进入高效专用除雾器，除去夹带的液滴，进入烟囱高空排放（温度27℃）；本系统丢失水分通过液位控制系统补加软水。</w:t>
      </w:r>
    </w:p>
    <w:p>
      <w:pPr>
        <w:spacing w:line="360" w:lineRule="auto"/>
        <w:ind w:firstLine="480" w:firstLineChars="200"/>
        <w:rPr>
          <w:rFonts w:eastAsia="仿宋_GB2312" w:cs="Times New Roman"/>
        </w:rPr>
      </w:pPr>
      <w:r>
        <w:rPr>
          <w:rFonts w:hint="eastAsia" w:eastAsia="仿宋_GB2312" w:cs="Times New Roman"/>
        </w:rPr>
        <w:t>（2）氯系列产品项目盐酸合成工段氯化氢两级碱洗吸收后，通过25 m高排气塔排放。氯处理工段事故尾气中氯气采用碱液吸收。</w:t>
      </w:r>
    </w:p>
    <w:p>
      <w:pPr>
        <w:spacing w:line="360" w:lineRule="auto"/>
        <w:ind w:firstLine="480" w:firstLineChars="200"/>
        <w:rPr>
          <w:rFonts w:eastAsia="仿宋_GB2312" w:cs="Times New Roman"/>
        </w:rPr>
      </w:pPr>
      <w:r>
        <w:rPr>
          <w:rFonts w:hint="eastAsia" w:eastAsia="仿宋_GB2312" w:cs="Times New Roman"/>
        </w:rPr>
        <w:t>①盐酸合成工段的HCl尾气</w:t>
      </w:r>
    </w:p>
    <w:p>
      <w:pPr>
        <w:spacing w:line="360" w:lineRule="auto"/>
        <w:ind w:firstLine="480" w:firstLineChars="200"/>
        <w:rPr>
          <w:rFonts w:eastAsia="仿宋_GB2312" w:cs="Times New Roman"/>
        </w:rPr>
      </w:pPr>
      <w:r>
        <w:rPr>
          <w:rFonts w:hint="eastAsia" w:eastAsia="仿宋_GB2312" w:cs="Times New Roman"/>
        </w:rPr>
        <w:t>氢气与氯气在三合一石墨合成炉内合成HCl后，从炉下方排出的即为合格的高纯盐酸；出“三合一”石墨炉的尾气中主要含HCl，进HCl尾气处理装置进行处理。尾气首先进入降膜吸收塔用纯水吸收，生成的稀酸返回石墨炉进一步增浓，出塔废气进入尾气吸收塔用稀酸循环喷射吸收，吸收后酸回到降膜吸收塔，无废水外排。</w:t>
      </w:r>
    </w:p>
    <w:p>
      <w:pPr>
        <w:spacing w:line="360" w:lineRule="auto"/>
        <w:ind w:firstLine="480" w:firstLineChars="200"/>
        <w:rPr>
          <w:rFonts w:eastAsia="仿宋_GB2312" w:cs="Times New Roman"/>
        </w:rPr>
      </w:pPr>
      <w:r>
        <w:rPr>
          <w:rFonts w:hint="eastAsia" w:eastAsia="仿宋_GB2312" w:cs="Times New Roman"/>
        </w:rPr>
        <w:t>由于HCl为易溶于水的气体，因而用纯水吸收效果较好。本项目中HCl经三合一石墨炉、降膜吸收塔、尾气吸收塔和水喷射泵多级吸收后，生产过程中氯化氢总吸收效率可达99.999％以上（其中尾气吸收塔和水喷射泵 对氯化氢的去除效率为99％），经吸收后尾气中氯化氢浓度很低，能够实现达标排放。</w:t>
      </w:r>
    </w:p>
    <w:p>
      <w:pPr>
        <w:spacing w:line="360" w:lineRule="auto"/>
        <w:ind w:firstLine="480" w:firstLineChars="200"/>
        <w:rPr>
          <w:rFonts w:eastAsia="仿宋_GB2312" w:cs="Times New Roman"/>
        </w:rPr>
      </w:pPr>
      <w:r>
        <w:rPr>
          <w:rFonts w:hint="eastAsia" w:eastAsia="仿宋_GB2312" w:cs="Times New Roman"/>
        </w:rPr>
        <w:t>②Cl</w:t>
      </w:r>
      <w:r>
        <w:rPr>
          <w:rFonts w:hint="eastAsia" w:eastAsia="仿宋_GB2312" w:cs="Times New Roman"/>
          <w:vertAlign w:val="subscript"/>
        </w:rPr>
        <w:t>2</w:t>
      </w:r>
      <w:r>
        <w:rPr>
          <w:rFonts w:hint="eastAsia" w:eastAsia="仿宋_GB2312" w:cs="Times New Roman"/>
        </w:rPr>
        <w:t>事故吸收塔尾气</w:t>
      </w:r>
    </w:p>
    <w:p>
      <w:pPr>
        <w:spacing w:line="360" w:lineRule="auto"/>
        <w:ind w:firstLine="480" w:firstLineChars="200"/>
        <w:rPr>
          <w:rFonts w:eastAsia="仿宋_GB2312" w:cs="Times New Roman"/>
        </w:rPr>
      </w:pPr>
      <w:r>
        <w:rPr>
          <w:rFonts w:hint="eastAsia" w:eastAsia="仿宋_GB2312" w:cs="Times New Roman"/>
        </w:rPr>
        <w:t>本装置存在各类Cl</w:t>
      </w:r>
      <w:r>
        <w:rPr>
          <w:rFonts w:hint="eastAsia" w:eastAsia="仿宋_GB2312" w:cs="Times New Roman"/>
          <w:vertAlign w:val="subscript"/>
        </w:rPr>
        <w:t>2</w:t>
      </w:r>
      <w:r>
        <w:rPr>
          <w:rFonts w:hint="eastAsia" w:eastAsia="仿宋_GB2312" w:cs="Times New Roman"/>
        </w:rPr>
        <w:t xml:space="preserve"> 事故排放，包括：</w:t>
      </w:r>
    </w:p>
    <w:p>
      <w:pPr>
        <w:spacing w:line="360" w:lineRule="auto"/>
        <w:ind w:firstLine="480" w:firstLineChars="200"/>
        <w:rPr>
          <w:rFonts w:eastAsia="仿宋_GB2312" w:cs="Times New Roman"/>
        </w:rPr>
      </w:pPr>
      <w:r>
        <w:rPr>
          <w:rFonts w:hint="eastAsia" w:eastAsia="仿宋_GB2312" w:cs="Times New Roman"/>
        </w:rPr>
        <w:t>a、电解槽开、停车排放的低浓度 Cl</w:t>
      </w:r>
      <w:r>
        <w:rPr>
          <w:rFonts w:hint="eastAsia" w:eastAsia="仿宋_GB2312" w:cs="Times New Roman"/>
          <w:vertAlign w:val="subscript"/>
        </w:rPr>
        <w:t>2</w:t>
      </w:r>
      <w:r>
        <w:rPr>
          <w:rFonts w:hint="eastAsia" w:eastAsia="仿宋_GB2312" w:cs="Times New Roman"/>
        </w:rPr>
        <w:t>；</w:t>
      </w:r>
    </w:p>
    <w:p>
      <w:pPr>
        <w:spacing w:line="360" w:lineRule="auto"/>
        <w:ind w:firstLine="480" w:firstLineChars="200"/>
        <w:rPr>
          <w:rFonts w:eastAsia="仿宋_GB2312" w:cs="Times New Roman"/>
        </w:rPr>
      </w:pPr>
      <w:r>
        <w:rPr>
          <w:rFonts w:hint="eastAsia" w:eastAsia="仿宋_GB2312" w:cs="Times New Roman"/>
        </w:rPr>
        <w:t>b、氯气系统发生事故时逸出的 Cl</w:t>
      </w:r>
      <w:r>
        <w:rPr>
          <w:rFonts w:hint="eastAsia" w:eastAsia="仿宋_GB2312" w:cs="Times New Roman"/>
          <w:vertAlign w:val="subscript"/>
        </w:rPr>
        <w:t>2</w:t>
      </w:r>
      <w:r>
        <w:rPr>
          <w:rFonts w:hint="eastAsia" w:eastAsia="仿宋_GB2312" w:cs="Times New Roman"/>
        </w:rPr>
        <w:t>；</w:t>
      </w:r>
    </w:p>
    <w:p>
      <w:pPr>
        <w:spacing w:line="360" w:lineRule="auto"/>
        <w:ind w:firstLine="480" w:firstLineChars="200"/>
        <w:rPr>
          <w:rFonts w:eastAsia="仿宋_GB2312" w:cs="Times New Roman"/>
        </w:rPr>
      </w:pPr>
      <w:r>
        <w:rPr>
          <w:rFonts w:hint="eastAsia" w:eastAsia="仿宋_GB2312" w:cs="Times New Roman"/>
        </w:rPr>
        <w:t>c、其他非正常工况下排放的 Cl</w:t>
      </w:r>
      <w:r>
        <w:rPr>
          <w:rFonts w:hint="eastAsia" w:eastAsia="仿宋_GB2312" w:cs="Times New Roman"/>
          <w:vertAlign w:val="subscript"/>
        </w:rPr>
        <w:t>2</w:t>
      </w:r>
      <w:r>
        <w:rPr>
          <w:rFonts w:hint="eastAsia" w:eastAsia="仿宋_GB2312" w:cs="Times New Roman"/>
        </w:rPr>
        <w:t>。</w:t>
      </w:r>
    </w:p>
    <w:p>
      <w:pPr>
        <w:spacing w:line="360" w:lineRule="auto"/>
        <w:ind w:firstLine="480" w:firstLineChars="200"/>
        <w:rPr>
          <w:rFonts w:eastAsia="仿宋_GB2312" w:cs="Times New Roman"/>
        </w:rPr>
      </w:pPr>
      <w:r>
        <w:rPr>
          <w:rFonts w:hint="eastAsia" w:eastAsia="仿宋_GB2312" w:cs="Times New Roman"/>
        </w:rPr>
        <w:t>本装置将各类事故排放的Cl</w:t>
      </w:r>
      <w:r>
        <w:rPr>
          <w:rFonts w:hint="eastAsia" w:eastAsia="仿宋_GB2312" w:cs="Times New Roman"/>
          <w:vertAlign w:val="subscript"/>
        </w:rPr>
        <w:t>2</w:t>
      </w:r>
      <w:r>
        <w:rPr>
          <w:rFonts w:hint="eastAsia" w:eastAsia="仿宋_GB2312" w:cs="Times New Roman"/>
        </w:rPr>
        <w:t>集中送至Cl</w:t>
      </w:r>
      <w:r>
        <w:rPr>
          <w:rFonts w:hint="eastAsia" w:eastAsia="仿宋_GB2312" w:cs="Times New Roman"/>
          <w:vertAlign w:val="subscript"/>
        </w:rPr>
        <w:t>2</w:t>
      </w:r>
      <w:r>
        <w:rPr>
          <w:rFonts w:hint="eastAsia" w:eastAsia="仿宋_GB2312" w:cs="Times New Roman"/>
        </w:rPr>
        <w:t>事故吸收塔，用碱液（NaOH）进行吸收处理，Cl</w:t>
      </w:r>
      <w:r>
        <w:rPr>
          <w:rFonts w:hint="eastAsia" w:eastAsia="仿宋_GB2312" w:cs="Times New Roman"/>
          <w:vertAlign w:val="subscript"/>
        </w:rPr>
        <w:t>2</w:t>
      </w:r>
      <w:r>
        <w:rPr>
          <w:rFonts w:hint="eastAsia" w:eastAsia="仿宋_GB2312" w:cs="Times New Roman"/>
        </w:rPr>
        <w:t>总吸收效率可以达到99.8%，生成的次氯酸钠送次氯酸钠工段。</w:t>
      </w:r>
    </w:p>
    <w:p>
      <w:pPr>
        <w:spacing w:line="360" w:lineRule="auto"/>
        <w:ind w:firstLine="480" w:firstLineChars="200"/>
        <w:rPr>
          <w:rFonts w:eastAsia="仿宋_GB2312" w:cs="Times New Roman"/>
        </w:rPr>
      </w:pPr>
      <w:r>
        <w:rPr>
          <w:rFonts w:hint="eastAsia" w:eastAsia="仿宋_GB2312" w:cs="Times New Roman"/>
        </w:rPr>
        <w:t>为确保Cl</w:t>
      </w:r>
      <w:r>
        <w:rPr>
          <w:rFonts w:hint="eastAsia" w:eastAsia="仿宋_GB2312" w:cs="Times New Roman"/>
          <w:vertAlign w:val="subscript"/>
        </w:rPr>
        <w:t>2</w:t>
      </w:r>
      <w:r>
        <w:rPr>
          <w:rFonts w:hint="eastAsia" w:eastAsia="仿宋_GB2312" w:cs="Times New Roman"/>
        </w:rPr>
        <w:t>的吸收效果，对Cl</w:t>
      </w:r>
      <w:r>
        <w:rPr>
          <w:rFonts w:hint="eastAsia" w:eastAsia="仿宋_GB2312" w:cs="Times New Roman"/>
          <w:vertAlign w:val="subscript"/>
        </w:rPr>
        <w:t>2</w:t>
      </w:r>
      <w:r>
        <w:rPr>
          <w:rFonts w:hint="eastAsia" w:eastAsia="仿宋_GB2312" w:cs="Times New Roman"/>
        </w:rPr>
        <w:t>吸收系统和生产装置系统设置联动装置，只要生产装置系统一工作，Cl</w:t>
      </w:r>
      <w:r>
        <w:rPr>
          <w:rFonts w:hint="eastAsia" w:eastAsia="仿宋_GB2312" w:cs="Times New Roman"/>
          <w:vertAlign w:val="subscript"/>
        </w:rPr>
        <w:t>2</w:t>
      </w:r>
      <w:r>
        <w:rPr>
          <w:rFonts w:hint="eastAsia" w:eastAsia="仿宋_GB2312" w:cs="Times New Roman"/>
        </w:rPr>
        <w:t>吸收系统立即启动、并24小时运行。吸收塔设计有效吸收Cl</w:t>
      </w:r>
      <w:r>
        <w:rPr>
          <w:rFonts w:hint="eastAsia" w:eastAsia="仿宋_GB2312" w:cs="Times New Roman"/>
          <w:vertAlign w:val="subscript"/>
        </w:rPr>
        <w:t>2</w:t>
      </w:r>
      <w:r>
        <w:rPr>
          <w:rFonts w:hint="eastAsia" w:eastAsia="仿宋_GB2312" w:cs="Times New Roman"/>
        </w:rPr>
        <w:t>量为200 kg／min。在正常情况下，生产系统不出现Cl</w:t>
      </w:r>
      <w:r>
        <w:rPr>
          <w:rFonts w:hint="eastAsia" w:eastAsia="仿宋_GB2312" w:cs="Times New Roman"/>
          <w:vertAlign w:val="subscript"/>
        </w:rPr>
        <w:t>2</w:t>
      </w:r>
      <w:r>
        <w:rPr>
          <w:rFonts w:hint="eastAsia" w:eastAsia="仿宋_GB2312" w:cs="Times New Roman"/>
        </w:rPr>
        <w:t>排放，仅有少量Cl</w:t>
      </w:r>
      <w:r>
        <w:rPr>
          <w:rFonts w:hint="eastAsia" w:eastAsia="仿宋_GB2312" w:cs="Times New Roman"/>
          <w:vertAlign w:val="subscript"/>
        </w:rPr>
        <w:t>2</w:t>
      </w:r>
      <w:r>
        <w:rPr>
          <w:rFonts w:hint="eastAsia" w:eastAsia="仿宋_GB2312" w:cs="Times New Roman"/>
        </w:rPr>
        <w:t>进入吸收塔，Cl</w:t>
      </w:r>
      <w:r>
        <w:rPr>
          <w:rFonts w:hint="eastAsia" w:eastAsia="仿宋_GB2312" w:cs="Times New Roman"/>
          <w:vertAlign w:val="subscript"/>
        </w:rPr>
        <w:t>2</w:t>
      </w:r>
      <w:r>
        <w:rPr>
          <w:rFonts w:hint="eastAsia" w:eastAsia="仿宋_GB2312" w:cs="Times New Roman"/>
        </w:rPr>
        <w:t>量远低于吸收塔处理能力，吸收系统基本上属空载运行。一旦发生事故，生产系统立即自动停止工作，电解槽不再生成Cl</w:t>
      </w:r>
      <w:r>
        <w:rPr>
          <w:rFonts w:hint="eastAsia" w:eastAsia="仿宋_GB2312" w:cs="Times New Roman"/>
          <w:vertAlign w:val="subscript"/>
        </w:rPr>
        <w:t>2</w:t>
      </w:r>
      <w:r>
        <w:rPr>
          <w:rFonts w:hint="eastAsia" w:eastAsia="仿宋_GB2312" w:cs="Times New Roman"/>
        </w:rPr>
        <w:t>，管道中的残余氯气即被送进吸收塔被碱液吸收。此外，该吸收系统设计采用双回路供电，以保证Cl</w:t>
      </w:r>
      <w:r>
        <w:rPr>
          <w:rFonts w:hint="eastAsia" w:eastAsia="仿宋_GB2312" w:cs="Times New Roman"/>
          <w:vertAlign w:val="subscript"/>
        </w:rPr>
        <w:t>2</w:t>
      </w:r>
      <w:r>
        <w:rPr>
          <w:rFonts w:hint="eastAsia" w:eastAsia="仿宋_GB2312" w:cs="Times New Roman"/>
        </w:rPr>
        <w:t>吸收系统不间断运行。</w:t>
      </w:r>
    </w:p>
    <w:p>
      <w:pPr>
        <w:spacing w:line="360" w:lineRule="auto"/>
        <w:ind w:firstLine="480" w:firstLineChars="200"/>
        <w:rPr>
          <w:rFonts w:eastAsia="仿宋_GB2312" w:cs="Times New Roman"/>
        </w:rPr>
      </w:pPr>
      <w:r>
        <w:rPr>
          <w:rFonts w:hint="eastAsia" w:eastAsia="仿宋_GB2312" w:cs="Times New Roman"/>
        </w:rPr>
        <w:t>为保证事故氯吸收装置效率，在运行中对液碱浓度进行例行检测，控制吸收塔内次氯酸钠浓度不超过4-5%，从而保证事故氯的吸收效率达99.8％以上。经处理后尾气中Cl</w:t>
      </w:r>
      <w:r>
        <w:rPr>
          <w:rFonts w:hint="eastAsia" w:eastAsia="仿宋_GB2312" w:cs="Times New Roman"/>
          <w:vertAlign w:val="subscript"/>
        </w:rPr>
        <w:t>2</w:t>
      </w:r>
      <w:r>
        <w:rPr>
          <w:rFonts w:hint="eastAsia" w:eastAsia="仿宋_GB2312" w:cs="Times New Roman"/>
        </w:rPr>
        <w:t>排放浓度约为60 mg/m</w:t>
      </w:r>
      <w:r>
        <w:rPr>
          <w:rFonts w:hint="eastAsia" w:eastAsia="仿宋_GB2312" w:cs="Times New Roman"/>
          <w:vertAlign w:val="superscript"/>
        </w:rPr>
        <w:t>3</w:t>
      </w:r>
      <w:r>
        <w:rPr>
          <w:rFonts w:hint="eastAsia" w:eastAsia="仿宋_GB2312" w:cs="Times New Roman"/>
        </w:rPr>
        <w:t>，低于《大气污染物综合排放标准》(GB16297—1996)的限值。事故氯装置吸收液送往次氯酸钠装置，继续通氯进行反应制备次氯酸钠。</w:t>
      </w:r>
    </w:p>
    <w:p>
      <w:pPr>
        <w:spacing w:line="360" w:lineRule="auto"/>
        <w:ind w:firstLine="480" w:firstLineChars="200"/>
        <w:rPr>
          <w:rFonts w:eastAsia="仿宋_GB2312" w:cs="Times New Roman"/>
        </w:rPr>
      </w:pPr>
      <w:r>
        <w:rPr>
          <w:rFonts w:hint="eastAsia" w:eastAsia="仿宋_GB2312" w:cs="Times New Roman"/>
        </w:rPr>
        <w:t>③次氯酸钠吸收尾气</w:t>
      </w:r>
    </w:p>
    <w:p>
      <w:pPr>
        <w:spacing w:line="360" w:lineRule="auto"/>
        <w:ind w:firstLine="480" w:firstLineChars="200"/>
        <w:rPr>
          <w:rFonts w:eastAsia="仿宋_GB2312" w:cs="Times New Roman"/>
        </w:rPr>
      </w:pPr>
      <w:r>
        <w:rPr>
          <w:rFonts w:hint="eastAsia" w:eastAsia="仿宋_GB2312" w:cs="Times New Roman"/>
        </w:rPr>
        <w:t>次氯酸钠生产工段的Cl</w:t>
      </w:r>
      <w:r>
        <w:rPr>
          <w:rFonts w:hint="eastAsia" w:eastAsia="仿宋_GB2312" w:cs="Times New Roman"/>
          <w:vertAlign w:val="subscript"/>
        </w:rPr>
        <w:t>2</w:t>
      </w:r>
      <w:r>
        <w:rPr>
          <w:rFonts w:hint="eastAsia" w:eastAsia="仿宋_GB2312" w:cs="Times New Roman"/>
        </w:rPr>
        <w:t>采用两级碱液吸收，生成次氯酸钠，生产过程中Cl</w:t>
      </w:r>
      <w:r>
        <w:rPr>
          <w:rFonts w:hint="eastAsia" w:eastAsia="仿宋_GB2312" w:cs="Times New Roman"/>
          <w:vertAlign w:val="subscript"/>
        </w:rPr>
        <w:t>2</w:t>
      </w:r>
      <w:r>
        <w:rPr>
          <w:rFonts w:hint="eastAsia" w:eastAsia="仿宋_GB2312" w:cs="Times New Roman"/>
        </w:rPr>
        <w:t>总吸收效率为99.99%（包括填料塔，其中尾气处理部分的吸收效率为99.9％），经处理后其尾气中氯气排放浓度能够达标排放。</w:t>
      </w:r>
    </w:p>
    <w:p>
      <w:pPr>
        <w:spacing w:line="360" w:lineRule="auto"/>
        <w:ind w:firstLine="482" w:firstLineChars="200"/>
        <w:rPr>
          <w:rFonts w:eastAsia="仿宋_GB2312" w:cs="Times New Roman"/>
          <w:b/>
        </w:rPr>
      </w:pPr>
      <w:r>
        <w:rPr>
          <w:rFonts w:hint="eastAsia" w:eastAsia="仿宋_GB2312" w:cs="Times New Roman"/>
          <w:b/>
        </w:rPr>
        <w:t>2．废水收集、处理与排放</w:t>
      </w:r>
    </w:p>
    <w:p>
      <w:pPr>
        <w:spacing w:line="360" w:lineRule="auto"/>
        <w:ind w:firstLine="480" w:firstLineChars="200"/>
        <w:rPr>
          <w:rFonts w:eastAsia="仿宋_GB2312" w:cs="Times New Roman"/>
        </w:rPr>
      </w:pPr>
      <w:r>
        <w:rPr>
          <w:rFonts w:hint="eastAsia" w:eastAsia="仿宋_GB2312" w:cs="Times New Roman"/>
        </w:rPr>
        <w:t>公司已经按照清污分流的原则，铺设了污水管网和雨水管网。</w:t>
      </w:r>
    </w:p>
    <w:p>
      <w:pPr>
        <w:spacing w:line="360" w:lineRule="auto"/>
        <w:ind w:firstLine="480" w:firstLineChars="200"/>
        <w:rPr>
          <w:rFonts w:eastAsia="仿宋_GB2312" w:cs="Times New Roman"/>
        </w:rPr>
      </w:pPr>
      <w:r>
        <w:rPr>
          <w:rFonts w:hint="eastAsia" w:eastAsia="仿宋_GB2312" w:cs="Times New Roman"/>
        </w:rPr>
        <w:t>企业对生产废水、生活污水与初期雨水均设立了废水收集系统，实现了雨污分流。公司主要生产废水主要污染物为pH、SS，且污染物浓度较低，采取中和沉淀对其进行预处理后，接入保税区胜科水务处理。</w:t>
      </w:r>
    </w:p>
    <w:p>
      <w:pPr>
        <w:spacing w:line="360" w:lineRule="auto"/>
        <w:ind w:firstLine="480" w:firstLineChars="200"/>
        <w:rPr>
          <w:rFonts w:eastAsia="仿宋_GB2312" w:cs="Times New Roman"/>
        </w:rPr>
      </w:pPr>
      <w:r>
        <w:rPr>
          <w:rFonts w:hint="eastAsia" w:eastAsia="仿宋_GB2312" w:cs="Times New Roman"/>
        </w:rPr>
        <w:t>公司生产清下水主要是循环冷却排水和锅炉排污水，其水质可以满足化工园区清下水标准，直接排入园区的清下水管网。</w:t>
      </w:r>
    </w:p>
    <w:p>
      <w:pPr>
        <w:spacing w:line="360" w:lineRule="auto"/>
        <w:ind w:firstLine="480" w:firstLineChars="200"/>
        <w:rPr>
          <w:rFonts w:eastAsia="仿宋_GB2312" w:cs="Times New Roman"/>
        </w:rPr>
      </w:pPr>
      <w:r>
        <w:rPr>
          <w:rFonts w:hint="eastAsia" w:eastAsia="仿宋_GB2312" w:cs="Times New Roman"/>
        </w:rPr>
        <w:t>生活污水经化粪池处理后，与生产废水一起接入市政管网。</w:t>
      </w:r>
    </w:p>
    <w:p>
      <w:pPr>
        <w:spacing w:line="360" w:lineRule="auto"/>
        <w:ind w:firstLine="480" w:firstLineChars="200"/>
        <w:rPr>
          <w:rFonts w:eastAsia="仿宋_GB2312" w:cs="Times New Roman"/>
        </w:rPr>
      </w:pPr>
      <w:r>
        <w:rPr>
          <w:rFonts w:hint="eastAsia" w:eastAsia="仿宋_GB2312" w:cs="Times New Roman"/>
        </w:rPr>
        <w:t>因此在排口设置上公司设一个雨水排口，一个污水排放口，同时对车间废水收集池、污水管线、初期雨水收集池及排口等均按规范要求设置了标志牌。</w:t>
      </w:r>
    </w:p>
    <w:p>
      <w:pPr>
        <w:spacing w:line="360" w:lineRule="auto"/>
        <w:ind w:firstLine="480" w:firstLineChars="200"/>
        <w:rPr>
          <w:rFonts w:eastAsia="仿宋_GB2312" w:cs="Times New Roman"/>
        </w:rPr>
      </w:pPr>
      <w:r>
        <w:rPr>
          <w:rFonts w:hint="eastAsia" w:eastAsia="仿宋_GB2312" w:cs="Times New Roman"/>
        </w:rPr>
        <w:t>厂内雨水池、污水排放井都安装了水质在线监控装置，监控指标为pH。</w:t>
      </w:r>
    </w:p>
    <w:p>
      <w:pPr>
        <w:spacing w:line="360" w:lineRule="auto"/>
        <w:ind w:firstLine="482" w:firstLineChars="200"/>
        <w:rPr>
          <w:rFonts w:eastAsia="仿宋_GB2312" w:cs="Times New Roman"/>
          <w:b/>
        </w:rPr>
      </w:pPr>
      <w:r>
        <w:rPr>
          <w:rFonts w:hint="eastAsia" w:eastAsia="仿宋_GB2312" w:cs="Times New Roman"/>
          <w:b/>
        </w:rPr>
        <w:t>3．固废暂存、处理与处置</w:t>
      </w:r>
    </w:p>
    <w:p>
      <w:pPr>
        <w:spacing w:line="360" w:lineRule="auto"/>
        <w:ind w:firstLine="480" w:firstLineChars="200"/>
        <w:rPr>
          <w:rFonts w:eastAsia="仿宋_GB2312" w:cs="Times New Roman"/>
        </w:rPr>
      </w:pPr>
      <w:r>
        <w:rPr>
          <w:rFonts w:hint="eastAsia" w:eastAsia="仿宋_GB2312" w:cs="Times New Roman"/>
        </w:rPr>
        <w:t>氯碱项目固废主要为二次盐水精制产生的废树脂，硫酸项目固废主要为转化器产生的废催化剂以及公用系统产生的废矿物油。</w:t>
      </w:r>
    </w:p>
    <w:p>
      <w:pPr>
        <w:spacing w:line="360" w:lineRule="auto"/>
        <w:ind w:firstLine="480" w:firstLineChars="200"/>
        <w:rPr>
          <w:rFonts w:eastAsia="仿宋_GB2312" w:cs="Times New Roman"/>
        </w:rPr>
      </w:pPr>
      <w:r>
        <w:rPr>
          <w:rFonts w:hint="eastAsia" w:eastAsia="仿宋_GB2312" w:cs="Times New Roman"/>
        </w:rPr>
        <w:t>废树脂委托张家港市华瑞危险废物处理中心有限公司进行处置；废催化剂委托江苏弘成环保科技有限公司进行处置；废矿物油委托昆山太和环保实业有限公司处置。</w:t>
      </w:r>
    </w:p>
    <w:p>
      <w:pPr>
        <w:pStyle w:val="97"/>
        <w:adjustRightInd/>
        <w:spacing w:before="163" w:beforeLines="50"/>
        <w:jc w:val="center"/>
        <w:rPr>
          <w:rFonts w:hint="default" w:ascii="Times New Roman" w:hAnsi="Times New Roman" w:eastAsia="黑体" w:cs="Times New Roman"/>
          <w:b/>
          <w:bCs/>
          <w:sz w:val="21"/>
          <w:szCs w:val="21"/>
        </w:rPr>
      </w:pPr>
      <w:r>
        <w:rPr>
          <w:rFonts w:hint="default" w:ascii="Times New Roman" w:hAnsi="Times New Roman" w:eastAsia="黑体" w:cs="Times New Roman"/>
          <w:b/>
          <w:bCs/>
          <w:sz w:val="21"/>
          <w:szCs w:val="21"/>
        </w:rPr>
        <w:t>表2</w:t>
      </w:r>
      <w:r>
        <w:rPr>
          <w:rFonts w:hint="default" w:ascii="Times New Roman" w:hAnsi="Times New Roman" w:eastAsia="黑体" w:cs="Times New Roman"/>
          <w:b/>
          <w:bCs/>
          <w:sz w:val="21"/>
          <w:szCs w:val="21"/>
          <w:lang w:val="en-US" w:eastAsia="zh-CN"/>
        </w:rPr>
        <w:t>-8</w:t>
      </w:r>
      <w:r>
        <w:rPr>
          <w:rFonts w:hint="default" w:ascii="Times New Roman" w:hAnsi="Times New Roman" w:eastAsia="黑体" w:cs="Times New Roman"/>
          <w:b/>
          <w:bCs/>
          <w:sz w:val="21"/>
          <w:szCs w:val="21"/>
        </w:rPr>
        <w:t xml:space="preserve"> 固废产生情况</w:t>
      </w:r>
    </w:p>
    <w:tbl>
      <w:tblPr>
        <w:tblStyle w:val="215"/>
        <w:tblW w:w="5000" w:type="pct"/>
        <w:tblInd w:w="0" w:type="dxa"/>
        <w:tblLayout w:type="autofit"/>
        <w:tblCellMar>
          <w:top w:w="0" w:type="dxa"/>
          <w:left w:w="0" w:type="dxa"/>
          <w:bottom w:w="0" w:type="dxa"/>
          <w:right w:w="0" w:type="dxa"/>
        </w:tblCellMar>
      </w:tblPr>
      <w:tblGrid>
        <w:gridCol w:w="1222"/>
        <w:gridCol w:w="1076"/>
        <w:gridCol w:w="1129"/>
        <w:gridCol w:w="464"/>
        <w:gridCol w:w="932"/>
        <w:gridCol w:w="1567"/>
        <w:gridCol w:w="697"/>
        <w:gridCol w:w="896"/>
        <w:gridCol w:w="1118"/>
      </w:tblGrid>
      <w:tr>
        <w:tblPrEx>
          <w:tblCellMar>
            <w:top w:w="0" w:type="dxa"/>
            <w:left w:w="0" w:type="dxa"/>
            <w:bottom w:w="0" w:type="dxa"/>
            <w:right w:w="0" w:type="dxa"/>
          </w:tblCellMar>
        </w:tblPrEx>
        <w:trPr>
          <w:trHeight w:val="779" w:hRule="exact"/>
          <w:tblHeader/>
        </w:trPr>
        <w:tc>
          <w:tcPr>
            <w:tcW w:w="672" w:type="pct"/>
            <w:tcBorders>
              <w:top w:val="single" w:color="000000" w:sz="12" w:space="0"/>
              <w:left w:val="single" w:color="000000" w:sz="12" w:space="0"/>
              <w:bottom w:val="single" w:color="000000" w:sz="4" w:space="0"/>
              <w:right w:val="single" w:color="000000" w:sz="4" w:space="0"/>
            </w:tcBorders>
            <w:vAlign w:val="center"/>
          </w:tcPr>
          <w:p>
            <w:pPr>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名称</w:t>
            </w:r>
          </w:p>
        </w:tc>
        <w:tc>
          <w:tcPr>
            <w:tcW w:w="591"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分类</w:t>
            </w:r>
          </w:p>
          <w:p>
            <w:pPr>
              <w:spacing w:line="274"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编号</w:t>
            </w:r>
          </w:p>
        </w:tc>
        <w:tc>
          <w:tcPr>
            <w:tcW w:w="620" w:type="pct"/>
            <w:tcBorders>
              <w:top w:val="single" w:color="000000" w:sz="12" w:space="0"/>
              <w:left w:val="single" w:color="000000" w:sz="4" w:space="0"/>
              <w:bottom w:val="single" w:color="000000" w:sz="4" w:space="0"/>
              <w:right w:val="single" w:color="000000" w:sz="4" w:space="0"/>
            </w:tcBorders>
            <w:vAlign w:val="center"/>
          </w:tcPr>
          <w:p>
            <w:pPr>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产生量(t/a)</w:t>
            </w:r>
          </w:p>
        </w:tc>
        <w:tc>
          <w:tcPr>
            <w:tcW w:w="255"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性状</w:t>
            </w:r>
          </w:p>
        </w:tc>
        <w:tc>
          <w:tcPr>
            <w:tcW w:w="512" w:type="pct"/>
            <w:tcBorders>
              <w:top w:val="single" w:color="000000" w:sz="12" w:space="0"/>
              <w:left w:val="single" w:color="000000" w:sz="4" w:space="0"/>
              <w:bottom w:val="single" w:color="000000" w:sz="4" w:space="0"/>
              <w:right w:val="single" w:color="000000" w:sz="4" w:space="0"/>
            </w:tcBorders>
            <w:vAlign w:val="center"/>
          </w:tcPr>
          <w:p>
            <w:pPr>
              <w:spacing w:line="258"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含水率</w:t>
            </w:r>
          </w:p>
          <w:p>
            <w:pPr>
              <w:jc w:val="center"/>
              <w:rPr>
                <w:rFonts w:ascii="Calibri" w:hAnsi="Calibri" w:eastAsia="仿宋" w:cs="Times New Roman"/>
                <w:b/>
                <w:kern w:val="0"/>
                <w:sz w:val="21"/>
                <w:szCs w:val="21"/>
                <w:lang w:eastAsia="en-US"/>
              </w:rPr>
            </w:pPr>
            <w:r>
              <w:rPr>
                <w:rFonts w:ascii="Calibri" w:hAnsi="Calibri" w:eastAsia="仿宋" w:cs="Times New Roman"/>
                <w:b/>
                <w:w w:val="105"/>
                <w:kern w:val="0"/>
                <w:sz w:val="21"/>
                <w:szCs w:val="21"/>
                <w:lang w:eastAsia="en-US"/>
              </w:rPr>
              <w:t>(%)</w:t>
            </w:r>
          </w:p>
        </w:tc>
        <w:tc>
          <w:tcPr>
            <w:tcW w:w="861" w:type="pct"/>
            <w:tcBorders>
              <w:top w:val="single" w:color="000000" w:sz="12" w:space="0"/>
              <w:left w:val="single" w:color="000000" w:sz="4" w:space="0"/>
              <w:bottom w:val="single" w:color="000000" w:sz="4" w:space="0"/>
              <w:right w:val="single" w:color="000000" w:sz="4" w:space="0"/>
            </w:tcBorders>
            <w:vAlign w:val="center"/>
          </w:tcPr>
          <w:p>
            <w:pPr>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处理措施</w:t>
            </w:r>
          </w:p>
        </w:tc>
        <w:tc>
          <w:tcPr>
            <w:tcW w:w="383"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储存</w:t>
            </w:r>
          </w:p>
          <w:p>
            <w:pPr>
              <w:spacing w:line="274"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地点</w:t>
            </w:r>
          </w:p>
        </w:tc>
        <w:tc>
          <w:tcPr>
            <w:tcW w:w="492" w:type="pct"/>
            <w:tcBorders>
              <w:top w:val="single" w:color="000000" w:sz="12" w:space="0"/>
              <w:left w:val="single" w:color="000000" w:sz="4" w:space="0"/>
              <w:bottom w:val="single" w:color="000000" w:sz="4" w:space="0"/>
              <w:right w:val="single" w:color="000000" w:sz="4" w:space="0"/>
            </w:tcBorders>
            <w:vAlign w:val="center"/>
          </w:tcPr>
          <w:p>
            <w:pPr>
              <w:spacing w:line="182" w:lineRule="auto"/>
              <w:ind w:hanging="8"/>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最大储</w:t>
            </w:r>
            <w:r>
              <w:rPr>
                <w:rFonts w:ascii="Calibri" w:hAnsi="Calibri" w:eastAsia="仿宋" w:cs="Times New Roman"/>
                <w:b/>
                <w:spacing w:val="-102"/>
                <w:kern w:val="0"/>
                <w:sz w:val="21"/>
                <w:szCs w:val="21"/>
                <w:lang w:eastAsia="en-US"/>
              </w:rPr>
              <w:t xml:space="preserve"> </w:t>
            </w:r>
            <w:r>
              <w:rPr>
                <w:rFonts w:ascii="Calibri" w:hAnsi="Calibri" w:eastAsia="仿宋" w:cs="Times New Roman"/>
                <w:b/>
                <w:kern w:val="0"/>
                <w:sz w:val="21"/>
                <w:szCs w:val="21"/>
                <w:lang w:eastAsia="en-US"/>
              </w:rPr>
              <w:t>存量(t)</w:t>
            </w:r>
          </w:p>
        </w:tc>
        <w:tc>
          <w:tcPr>
            <w:tcW w:w="615" w:type="pct"/>
            <w:tcBorders>
              <w:top w:val="single" w:color="000000" w:sz="12" w:space="0"/>
              <w:left w:val="single" w:color="000000" w:sz="4" w:space="0"/>
              <w:bottom w:val="single" w:color="000000" w:sz="4" w:space="0"/>
              <w:right w:val="single" w:color="000000" w:sz="12" w:space="0"/>
            </w:tcBorders>
            <w:vAlign w:val="center"/>
          </w:tcPr>
          <w:p>
            <w:pPr>
              <w:spacing w:line="182" w:lineRule="auto"/>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 xml:space="preserve">处理处置 </w:t>
            </w:r>
            <w:r>
              <w:rPr>
                <w:rFonts w:ascii="Calibri" w:hAnsi="Calibri" w:eastAsia="仿宋" w:cs="Times New Roman"/>
                <w:b/>
                <w:w w:val="95"/>
                <w:kern w:val="0"/>
                <w:sz w:val="21"/>
                <w:szCs w:val="21"/>
                <w:lang w:eastAsia="en-US"/>
              </w:rPr>
              <w:t>量（t/a）</w:t>
            </w:r>
          </w:p>
        </w:tc>
      </w:tr>
      <w:tr>
        <w:tblPrEx>
          <w:tblCellMar>
            <w:top w:w="0" w:type="dxa"/>
            <w:left w:w="0" w:type="dxa"/>
            <w:bottom w:w="0" w:type="dxa"/>
            <w:right w:w="0" w:type="dxa"/>
          </w:tblCellMar>
        </w:tblPrEx>
        <w:trPr>
          <w:trHeight w:val="1203"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废树脂</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4" w:lineRule="exact"/>
              <w:ind w:firstLine="208"/>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HW13</w:t>
            </w:r>
          </w:p>
          <w:p>
            <w:pPr>
              <w:spacing w:line="299" w:lineRule="exact"/>
              <w:jc w:val="center"/>
              <w:rPr>
                <w:rFonts w:ascii="Calibri" w:hAnsi="Calibri" w:eastAsia="仿宋" w:cs="Times New Roman"/>
                <w:kern w:val="0"/>
                <w:sz w:val="21"/>
                <w:szCs w:val="21"/>
                <w:lang w:eastAsia="en-US"/>
              </w:rPr>
            </w:pPr>
            <w:r>
              <w:rPr>
                <w:rFonts w:ascii="Calibri" w:hAnsi="Calibri" w:eastAsia="仿宋" w:cs="Times New Roman"/>
                <w:w w:val="90"/>
                <w:kern w:val="0"/>
                <w:sz w:val="21"/>
                <w:szCs w:val="21"/>
                <w:lang w:eastAsia="en-US"/>
              </w:rPr>
              <w:t>900-015-13</w:t>
            </w:r>
          </w:p>
        </w:tc>
        <w:tc>
          <w:tcPr>
            <w:tcW w:w="620"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w:t>
            </w:r>
          </w:p>
        </w:tc>
        <w:tc>
          <w:tcPr>
            <w:tcW w:w="512"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spacing w:line="239" w:lineRule="exact"/>
              <w:jc w:val="center"/>
              <w:rPr>
                <w:rFonts w:ascii="Calibri" w:hAnsi="Calibri" w:eastAsia="仿宋" w:cs="Times New Roman"/>
                <w:kern w:val="0"/>
                <w:sz w:val="21"/>
                <w:szCs w:val="21"/>
                <w:lang w:eastAsia="zh-CN"/>
              </w:rPr>
            </w:pPr>
            <w:r>
              <w:rPr>
                <w:rFonts w:ascii="Calibri" w:hAnsi="Calibri" w:eastAsia="仿宋" w:cs="Times New Roman"/>
                <w:kern w:val="0"/>
                <w:sz w:val="21"/>
                <w:szCs w:val="21"/>
                <w:lang w:eastAsia="zh-CN"/>
              </w:rPr>
              <w:t>委托张家港市华瑞危险废物处理中心有限公司进行处置</w:t>
            </w:r>
          </w:p>
        </w:tc>
        <w:tc>
          <w:tcPr>
            <w:tcW w:w="383" w:type="pct"/>
            <w:vMerge w:val="restart"/>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0.2</w:t>
            </w:r>
          </w:p>
        </w:tc>
        <w:tc>
          <w:tcPr>
            <w:tcW w:w="615" w:type="pct"/>
            <w:tcBorders>
              <w:top w:val="single" w:color="000000" w:sz="4" w:space="0"/>
              <w:left w:val="single" w:color="000000" w:sz="4" w:space="0"/>
              <w:bottom w:val="single" w:color="000000" w:sz="4" w:space="0"/>
              <w:right w:val="single" w:color="000000" w:sz="12" w:space="0"/>
            </w:tcBorders>
            <w:vAlign w:val="center"/>
          </w:tcPr>
          <w:p>
            <w:pPr>
              <w:spacing w:line="36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w:t>
            </w:r>
          </w:p>
        </w:tc>
      </w:tr>
      <w:tr>
        <w:tblPrEx>
          <w:tblCellMar>
            <w:top w:w="0" w:type="dxa"/>
            <w:left w:w="0" w:type="dxa"/>
            <w:bottom w:w="0" w:type="dxa"/>
            <w:right w:w="0" w:type="dxa"/>
          </w:tblCellMar>
        </w:tblPrEx>
        <w:trPr>
          <w:trHeight w:val="866"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废矿物油</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58" w:lineRule="auto"/>
              <w:ind w:firstLine="208"/>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HW08</w:t>
            </w:r>
            <w:r>
              <w:rPr>
                <w:rFonts w:ascii="Calibri" w:hAnsi="Calibri" w:eastAsia="仿宋" w:cs="Times New Roman"/>
                <w:w w:val="90"/>
                <w:kern w:val="0"/>
                <w:sz w:val="21"/>
                <w:szCs w:val="21"/>
                <w:lang w:eastAsia="en-US"/>
              </w:rPr>
              <w:t xml:space="preserve"> </w:t>
            </w:r>
            <w:r>
              <w:rPr>
                <w:rFonts w:ascii="Calibri" w:hAnsi="Calibri" w:eastAsia="仿宋" w:cs="Times New Roman"/>
                <w:spacing w:val="-1"/>
                <w:w w:val="90"/>
                <w:kern w:val="0"/>
                <w:sz w:val="21"/>
                <w:szCs w:val="21"/>
                <w:lang w:eastAsia="en-US"/>
              </w:rPr>
              <w:t>900-217-08</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w w:val="90"/>
                <w:kern w:val="0"/>
                <w:sz w:val="21"/>
                <w:szCs w:val="21"/>
                <w:lang w:eastAsia="en-US"/>
              </w:rPr>
              <w:t>5</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zh-CN"/>
              </w:rPr>
            </w:pPr>
            <w:r>
              <w:rPr>
                <w:rFonts w:hint="eastAsia" w:ascii="Calibri" w:hAnsi="Calibri" w:eastAsia="仿宋" w:cs="Times New Roman"/>
                <w:kern w:val="0"/>
                <w:sz w:val="21"/>
                <w:szCs w:val="21"/>
                <w:lang w:eastAsia="zh-CN"/>
              </w:rPr>
              <w:t>委托</w:t>
            </w:r>
            <w:r>
              <w:rPr>
                <w:rFonts w:ascii="Calibri" w:hAnsi="Calibri" w:eastAsia="仿宋" w:cs="Times New Roman"/>
                <w:kern w:val="0"/>
                <w:sz w:val="21"/>
                <w:szCs w:val="21"/>
                <w:lang w:eastAsia="zh-CN"/>
              </w:rPr>
              <w:t>昆山太和环保实业有限公司</w:t>
            </w:r>
          </w:p>
        </w:tc>
        <w:tc>
          <w:tcPr>
            <w:tcW w:w="383"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0.2</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w w:val="90"/>
                <w:kern w:val="0"/>
                <w:sz w:val="21"/>
                <w:szCs w:val="21"/>
                <w:lang w:eastAsia="en-US"/>
              </w:rPr>
              <w:t>5</w:t>
            </w:r>
          </w:p>
        </w:tc>
      </w:tr>
      <w:tr>
        <w:tblPrEx>
          <w:tblCellMar>
            <w:top w:w="0" w:type="dxa"/>
            <w:left w:w="0" w:type="dxa"/>
            <w:bottom w:w="0" w:type="dxa"/>
            <w:right w:w="0" w:type="dxa"/>
          </w:tblCellMar>
        </w:tblPrEx>
        <w:trPr>
          <w:trHeight w:val="826"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废催化剂</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2" w:lineRule="auto"/>
              <w:ind w:firstLine="208"/>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HW50</w:t>
            </w:r>
            <w:r>
              <w:rPr>
                <w:rFonts w:ascii="Calibri" w:hAnsi="Calibri" w:eastAsia="仿宋" w:cs="Times New Roman"/>
                <w:w w:val="90"/>
                <w:kern w:val="0"/>
                <w:sz w:val="21"/>
                <w:szCs w:val="21"/>
                <w:lang w:eastAsia="en-US"/>
              </w:rPr>
              <w:t xml:space="preserve"> </w:t>
            </w:r>
            <w:r>
              <w:rPr>
                <w:rFonts w:ascii="Calibri" w:hAnsi="Calibri" w:eastAsia="仿宋" w:cs="Times New Roman"/>
                <w:spacing w:val="-1"/>
                <w:w w:val="90"/>
                <w:kern w:val="0"/>
                <w:sz w:val="21"/>
                <w:szCs w:val="21"/>
                <w:lang w:eastAsia="en-US"/>
              </w:rPr>
              <w:t>261-173-50</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14</w:t>
            </w:r>
            <w:r>
              <w:rPr>
                <w:rFonts w:ascii="Calibri" w:hAnsi="Calibri" w:eastAsia="仿宋" w:cs="Times New Roman"/>
                <w:spacing w:val="-35"/>
                <w:kern w:val="0"/>
                <w:sz w:val="21"/>
                <w:szCs w:val="21"/>
                <w:lang w:eastAsia="en-US"/>
              </w:rPr>
              <w:t xml:space="preserve"> </w:t>
            </w:r>
            <w:r>
              <w:rPr>
                <w:rFonts w:ascii="Calibri" w:hAnsi="Calibri" w:eastAsia="仿宋" w:cs="Times New Roman"/>
                <w:kern w:val="0"/>
                <w:sz w:val="21"/>
                <w:szCs w:val="21"/>
                <w:lang w:eastAsia="en-US"/>
              </w:rPr>
              <w:t>m</w:t>
            </w:r>
            <w:r>
              <w:rPr>
                <w:rFonts w:ascii="Calibri" w:hAnsi="Calibri" w:eastAsia="仿宋" w:cs="Times New Roman"/>
                <w:kern w:val="0"/>
                <w:position w:val="10"/>
                <w:sz w:val="21"/>
                <w:szCs w:val="21"/>
                <w:lang w:eastAsia="en-US"/>
              </w:rPr>
              <w:t>3</w:t>
            </w:r>
            <w:r>
              <w:rPr>
                <w:rFonts w:ascii="Calibri" w:hAnsi="Calibri" w:eastAsia="仿宋" w:cs="Times New Roman"/>
                <w:kern w:val="0"/>
                <w:sz w:val="21"/>
                <w:szCs w:val="21"/>
                <w:lang w:eastAsia="en-US"/>
              </w:rPr>
              <w:t>/5</w:t>
            </w:r>
            <w:r>
              <w:rPr>
                <w:rFonts w:ascii="Calibri" w:hAnsi="Calibri" w:eastAsia="仿宋" w:cs="Times New Roman"/>
                <w:spacing w:val="-34"/>
                <w:kern w:val="0"/>
                <w:sz w:val="21"/>
                <w:szCs w:val="21"/>
                <w:lang w:eastAsia="en-US"/>
              </w:rPr>
              <w:t xml:space="preserve"> </w:t>
            </w:r>
            <w:r>
              <w:rPr>
                <w:rFonts w:ascii="Calibri" w:hAnsi="Calibri" w:eastAsia="仿宋" w:cs="Times New Roman"/>
                <w:kern w:val="0"/>
                <w:sz w:val="21"/>
                <w:szCs w:val="21"/>
                <w:lang w:eastAsia="en-US"/>
              </w:rPr>
              <w:t>年</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spacing w:line="239" w:lineRule="exact"/>
              <w:jc w:val="center"/>
              <w:rPr>
                <w:rFonts w:ascii="Calibri" w:hAnsi="Calibri" w:eastAsia="仿宋" w:cs="Times New Roman"/>
                <w:kern w:val="0"/>
                <w:sz w:val="21"/>
                <w:szCs w:val="21"/>
                <w:lang w:eastAsia="zh-CN"/>
              </w:rPr>
            </w:pPr>
            <w:r>
              <w:rPr>
                <w:rFonts w:hint="eastAsia" w:ascii="Calibri" w:hAnsi="Calibri" w:eastAsia="仿宋" w:cs="Times New Roman"/>
                <w:kern w:val="0"/>
                <w:sz w:val="21"/>
                <w:szCs w:val="21"/>
                <w:lang w:eastAsia="zh-CN"/>
              </w:rPr>
              <w:t>委托江苏弘成环保科技有限公司进行处置</w:t>
            </w:r>
          </w:p>
        </w:tc>
        <w:tc>
          <w:tcPr>
            <w:tcW w:w="383" w:type="pct"/>
            <w:vMerge w:val="continue"/>
            <w:tcBorders>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14m</w:t>
            </w:r>
            <w:r>
              <w:rPr>
                <w:rFonts w:ascii="Calibri" w:hAnsi="Calibri" w:eastAsia="仿宋" w:cs="Times New Roman"/>
                <w:kern w:val="0"/>
                <w:position w:val="10"/>
                <w:sz w:val="21"/>
                <w:szCs w:val="21"/>
                <w:lang w:eastAsia="en-US"/>
              </w:rPr>
              <w:t>3</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14</w:t>
            </w:r>
            <w:r>
              <w:rPr>
                <w:rFonts w:ascii="Calibri" w:hAnsi="Calibri" w:eastAsia="仿宋" w:cs="Times New Roman"/>
                <w:spacing w:val="-35"/>
                <w:kern w:val="0"/>
                <w:sz w:val="21"/>
                <w:szCs w:val="21"/>
                <w:lang w:eastAsia="en-US"/>
              </w:rPr>
              <w:t xml:space="preserve"> </w:t>
            </w:r>
            <w:r>
              <w:rPr>
                <w:rFonts w:ascii="Calibri" w:hAnsi="Calibri" w:eastAsia="仿宋" w:cs="Times New Roman"/>
                <w:kern w:val="0"/>
                <w:sz w:val="21"/>
                <w:szCs w:val="21"/>
                <w:lang w:eastAsia="en-US"/>
              </w:rPr>
              <w:t>m</w:t>
            </w:r>
            <w:r>
              <w:rPr>
                <w:rFonts w:ascii="Calibri" w:hAnsi="Calibri" w:eastAsia="仿宋" w:cs="Times New Roman"/>
                <w:kern w:val="0"/>
                <w:position w:val="10"/>
                <w:sz w:val="21"/>
                <w:szCs w:val="21"/>
                <w:lang w:eastAsia="en-US"/>
              </w:rPr>
              <w:t>3</w:t>
            </w:r>
            <w:r>
              <w:rPr>
                <w:rFonts w:ascii="Calibri" w:hAnsi="Calibri" w:eastAsia="仿宋" w:cs="Times New Roman"/>
                <w:kern w:val="0"/>
                <w:sz w:val="21"/>
                <w:szCs w:val="21"/>
                <w:lang w:eastAsia="en-US"/>
              </w:rPr>
              <w:t>/5</w:t>
            </w:r>
            <w:r>
              <w:rPr>
                <w:rFonts w:ascii="Calibri" w:hAnsi="Calibri" w:eastAsia="仿宋" w:cs="Times New Roman"/>
                <w:spacing w:val="-34"/>
                <w:kern w:val="0"/>
                <w:sz w:val="21"/>
                <w:szCs w:val="21"/>
                <w:lang w:eastAsia="en-US"/>
              </w:rPr>
              <w:t xml:space="preserve"> </w:t>
            </w:r>
            <w:r>
              <w:rPr>
                <w:rFonts w:ascii="Calibri" w:hAnsi="Calibri" w:eastAsia="仿宋" w:cs="Times New Roman"/>
                <w:kern w:val="0"/>
                <w:sz w:val="21"/>
                <w:szCs w:val="21"/>
                <w:lang w:eastAsia="en-US"/>
              </w:rPr>
              <w:t>年</w:t>
            </w:r>
          </w:p>
        </w:tc>
      </w:tr>
      <w:tr>
        <w:tblPrEx>
          <w:tblCellMar>
            <w:top w:w="0" w:type="dxa"/>
            <w:left w:w="0" w:type="dxa"/>
            <w:bottom w:w="0" w:type="dxa"/>
            <w:right w:w="0" w:type="dxa"/>
          </w:tblCellMar>
        </w:tblPrEx>
        <w:trPr>
          <w:trHeight w:val="862"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78%稀硫酸</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2" w:lineRule="auto"/>
              <w:ind w:firstLine="208"/>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HW34</w:t>
            </w:r>
            <w:r>
              <w:rPr>
                <w:rFonts w:ascii="Calibri" w:hAnsi="Calibri" w:eastAsia="仿宋" w:cs="Times New Roman"/>
                <w:w w:val="90"/>
                <w:kern w:val="0"/>
                <w:sz w:val="21"/>
                <w:szCs w:val="21"/>
                <w:lang w:eastAsia="en-US"/>
              </w:rPr>
              <w:t xml:space="preserve"> </w:t>
            </w:r>
            <w:r>
              <w:rPr>
                <w:rFonts w:ascii="Calibri" w:hAnsi="Calibri" w:eastAsia="仿宋" w:cs="Times New Roman"/>
                <w:spacing w:val="-1"/>
                <w:w w:val="90"/>
                <w:kern w:val="0"/>
                <w:sz w:val="21"/>
                <w:szCs w:val="21"/>
                <w:lang w:eastAsia="en-US"/>
              </w:rPr>
              <w:t>261-057-34</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3087</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液</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约</w:t>
            </w:r>
            <w:r>
              <w:rPr>
                <w:rFonts w:ascii="Calibri" w:hAnsi="Calibri" w:eastAsia="仿宋" w:cs="Times New Roman"/>
                <w:spacing w:val="-85"/>
                <w:kern w:val="0"/>
                <w:sz w:val="21"/>
                <w:szCs w:val="21"/>
                <w:lang w:eastAsia="en-US"/>
              </w:rPr>
              <w:t xml:space="preserve"> </w:t>
            </w:r>
            <w:r>
              <w:rPr>
                <w:rFonts w:ascii="Calibri" w:hAnsi="Calibri" w:eastAsia="仿宋" w:cs="Times New Roman"/>
                <w:kern w:val="0"/>
                <w:sz w:val="21"/>
                <w:szCs w:val="21"/>
                <w:lang w:eastAsia="en-US"/>
              </w:rPr>
              <w:t>20%</w:t>
            </w:r>
          </w:p>
        </w:tc>
        <w:tc>
          <w:tcPr>
            <w:tcW w:w="861"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回用</w:t>
            </w:r>
          </w:p>
        </w:tc>
        <w:tc>
          <w:tcPr>
            <w:tcW w:w="383"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储罐</w:t>
            </w: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100</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3087</w:t>
            </w:r>
          </w:p>
        </w:tc>
      </w:tr>
      <w:tr>
        <w:tblPrEx>
          <w:tblCellMar>
            <w:top w:w="0" w:type="dxa"/>
            <w:left w:w="0" w:type="dxa"/>
            <w:bottom w:w="0" w:type="dxa"/>
            <w:right w:w="0" w:type="dxa"/>
          </w:tblCellMar>
        </w:tblPrEx>
        <w:trPr>
          <w:trHeight w:val="729" w:hRule="exact"/>
        </w:trPr>
        <w:tc>
          <w:tcPr>
            <w:tcW w:w="672" w:type="pct"/>
            <w:tcBorders>
              <w:top w:val="single" w:color="000000" w:sz="4" w:space="0"/>
              <w:left w:val="single" w:color="000000" w:sz="12"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生活垃圾</w:t>
            </w:r>
          </w:p>
        </w:tc>
        <w:tc>
          <w:tcPr>
            <w:tcW w:w="591" w:type="pct"/>
            <w:tcBorders>
              <w:top w:val="single" w:color="000000" w:sz="4" w:space="0"/>
              <w:left w:val="single" w:color="000000" w:sz="4" w:space="0"/>
              <w:bottom w:val="single" w:color="000000" w:sz="12" w:space="0"/>
              <w:right w:val="single" w:color="000000" w:sz="4" w:space="0"/>
            </w:tcBorders>
            <w:vAlign w:val="center"/>
          </w:tcPr>
          <w:p>
            <w:pPr>
              <w:spacing w:line="182" w:lineRule="auto"/>
              <w:ind w:firstLine="208"/>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无</w:t>
            </w:r>
          </w:p>
        </w:tc>
        <w:tc>
          <w:tcPr>
            <w:tcW w:w="620"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20</w:t>
            </w:r>
          </w:p>
        </w:tc>
        <w:tc>
          <w:tcPr>
            <w:tcW w:w="255"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w:t>
            </w:r>
          </w:p>
        </w:tc>
        <w:tc>
          <w:tcPr>
            <w:tcW w:w="512"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861"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金港镇德积环卫所</w:t>
            </w:r>
          </w:p>
        </w:tc>
        <w:tc>
          <w:tcPr>
            <w:tcW w:w="383"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垃圾桶</w:t>
            </w:r>
          </w:p>
        </w:tc>
        <w:tc>
          <w:tcPr>
            <w:tcW w:w="492" w:type="pct"/>
            <w:tcBorders>
              <w:top w:val="single" w:color="000000" w:sz="4" w:space="0"/>
              <w:left w:val="single" w:color="000000" w:sz="4"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c>
          <w:tcPr>
            <w:tcW w:w="615" w:type="pct"/>
            <w:tcBorders>
              <w:top w:val="single" w:color="000000" w:sz="4" w:space="0"/>
              <w:left w:val="single" w:color="000000" w:sz="4" w:space="0"/>
              <w:bottom w:val="single" w:color="000000" w:sz="12" w:space="0"/>
              <w:right w:val="single" w:color="000000" w:sz="12"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w:t>
            </w:r>
          </w:p>
        </w:tc>
      </w:tr>
    </w:tbl>
    <w:p>
      <w:pPr>
        <w:pStyle w:val="97"/>
        <w:adjustRightInd/>
        <w:spacing w:before="163" w:beforeLines="50" w:line="360" w:lineRule="auto"/>
        <w:ind w:firstLine="480" w:firstLineChars="200"/>
        <w:jc w:val="both"/>
        <w:rPr>
          <w:rFonts w:hint="default" w:ascii="Times New Roman" w:hAnsi="Times New Roman" w:eastAsia="仿宋"/>
          <w:bCs/>
        </w:rPr>
      </w:pPr>
      <w:r>
        <w:rPr>
          <w:rFonts w:hint="default" w:ascii="Times New Roman" w:hAnsi="Times New Roman" w:eastAsia="仿宋"/>
          <w:bCs/>
        </w:rPr>
        <w:t>综上所述，企业所有一般工业固废和危废均妥善合法处理处置，其处置方式可行。</w:t>
      </w:r>
    </w:p>
    <w:p>
      <w:pPr>
        <w:pStyle w:val="97"/>
        <w:adjustRightInd/>
        <w:spacing w:line="360" w:lineRule="auto"/>
        <w:ind w:firstLine="480" w:firstLineChars="200"/>
        <w:jc w:val="both"/>
        <w:rPr>
          <w:rFonts w:hint="default" w:ascii="Times New Roman" w:hAnsi="Times New Roman" w:eastAsia="仿宋"/>
          <w:bCs/>
        </w:rPr>
      </w:pPr>
      <w:r>
        <w:rPr>
          <w:rFonts w:hint="default" w:ascii="Times New Roman" w:hAnsi="Times New Roman" w:eastAsia="仿宋"/>
          <w:bCs/>
        </w:rPr>
        <w:t>双狮公司危险废物中的78%硫酸，采用储罐储存，设置环境保护图形标志和警示标志；需要委外处置的危险废物贮存在危废暂存仓库，并清楚标明废物类别、数量、危险特性等，定期委托有资质的单位处理。</w:t>
      </w:r>
    </w:p>
    <w:p>
      <w:pPr>
        <w:pStyle w:val="97"/>
        <w:adjustRightInd/>
        <w:spacing w:line="360" w:lineRule="auto"/>
        <w:ind w:firstLine="480" w:firstLineChars="200"/>
        <w:jc w:val="both"/>
        <w:rPr>
          <w:rFonts w:hint="default" w:ascii="Times New Roman" w:hAnsi="Times New Roman" w:eastAsia="仿宋"/>
          <w:bCs/>
        </w:rPr>
      </w:pPr>
      <w:r>
        <w:rPr>
          <w:rFonts w:hint="default" w:ascii="Times New Roman" w:hAnsi="Times New Roman" w:eastAsia="仿宋"/>
          <w:bCs/>
        </w:rPr>
        <w:t>企业固废暂存场所严格按照《危险废物贮存污染控制标准 》（GB18597-2001）以及《一般工业固体废物贮存、处置场污染控制标准》（GB18599-2001）的要求规范建设和维护使用。做好该</w:t>
      </w:r>
      <w:r>
        <w:rPr>
          <w:rFonts w:ascii="Times New Roman" w:hAnsi="Times New Roman" w:eastAsia="仿宋"/>
          <w:bCs/>
        </w:rPr>
        <w:t>暂存区</w:t>
      </w:r>
      <w:r>
        <w:rPr>
          <w:rFonts w:hint="default" w:ascii="Times New Roman" w:hAnsi="Times New Roman" w:eastAsia="仿宋"/>
          <w:bCs/>
        </w:rPr>
        <w:t>防雨、防风、防渗、防漏等措施，并制定好厂内固体废物特别是危险废物转移运输中的污染防范及事故应急措施。</w:t>
      </w:r>
    </w:p>
    <w:p>
      <w:pPr>
        <w:spacing w:line="360" w:lineRule="auto"/>
        <w:ind w:firstLine="480" w:firstLineChars="200"/>
        <w:rPr>
          <w:rFonts w:eastAsia="仿宋_GB2312" w:cs="Times New Roman"/>
        </w:rPr>
      </w:pPr>
      <w:r>
        <w:rPr>
          <w:rFonts w:hint="eastAsia" w:eastAsia="仿宋_GB2312" w:cs="Times New Roman"/>
        </w:rPr>
        <w:t>公司三废排放汇总情况见表2-</w:t>
      </w:r>
      <w:r>
        <w:rPr>
          <w:rFonts w:hint="eastAsia" w:eastAsia="仿宋_GB2312" w:cs="Times New Roman"/>
          <w:lang w:val="en-US" w:eastAsia="zh-CN"/>
        </w:rPr>
        <w:t>9</w:t>
      </w:r>
      <w:r>
        <w:rPr>
          <w:rFonts w:hint="eastAsia" w:eastAsia="仿宋_GB2312" w:cs="Times New Roman"/>
        </w:rPr>
        <w:t>。</w:t>
      </w:r>
    </w:p>
    <w:p>
      <w:pPr>
        <w:pStyle w:val="97"/>
        <w:adjustRightInd/>
        <w:spacing w:before="163" w:beforeLines="50"/>
        <w:jc w:val="center"/>
        <w:rPr>
          <w:rFonts w:hint="default" w:ascii="Times New Roman" w:hAnsi="Times New Roman" w:eastAsia="黑体" w:cs="Times New Roman"/>
          <w:b/>
          <w:bCs/>
          <w:sz w:val="21"/>
          <w:szCs w:val="21"/>
        </w:rPr>
      </w:pPr>
    </w:p>
    <w:p>
      <w:pPr>
        <w:pStyle w:val="97"/>
        <w:adjustRightInd/>
        <w:spacing w:before="163" w:beforeLines="50"/>
        <w:jc w:val="center"/>
        <w:rPr>
          <w:rFonts w:hint="default" w:ascii="Times New Roman" w:hAnsi="Times New Roman" w:eastAsia="黑体" w:cs="Times New Roman"/>
          <w:b/>
          <w:bCs/>
          <w:sz w:val="21"/>
          <w:szCs w:val="21"/>
        </w:rPr>
      </w:pPr>
    </w:p>
    <w:p>
      <w:pPr>
        <w:pStyle w:val="97"/>
        <w:adjustRightInd/>
        <w:spacing w:before="163" w:beforeLines="50"/>
        <w:jc w:val="center"/>
        <w:rPr>
          <w:rFonts w:hint="default" w:ascii="Times New Roman" w:hAnsi="Times New Roman" w:eastAsia="黑体" w:cs="Times New Roman"/>
          <w:b/>
          <w:bCs/>
          <w:sz w:val="21"/>
          <w:szCs w:val="21"/>
        </w:rPr>
      </w:pPr>
    </w:p>
    <w:p>
      <w:pPr>
        <w:pStyle w:val="97"/>
        <w:adjustRightInd/>
        <w:spacing w:before="163" w:beforeLines="50"/>
        <w:jc w:val="center"/>
        <w:rPr>
          <w:rFonts w:hint="default" w:ascii="Times New Roman" w:hAnsi="Times New Roman" w:eastAsia="黑体" w:cs="Times New Roman"/>
          <w:b/>
          <w:bCs/>
          <w:sz w:val="21"/>
          <w:szCs w:val="21"/>
        </w:rPr>
      </w:pPr>
    </w:p>
    <w:p>
      <w:pPr>
        <w:pStyle w:val="97"/>
        <w:adjustRightInd/>
        <w:spacing w:before="163" w:beforeLines="50"/>
        <w:jc w:val="center"/>
        <w:rPr>
          <w:rFonts w:hint="default" w:ascii="Times New Roman" w:hAnsi="Times New Roman" w:eastAsia="黑体" w:cs="Times New Roman"/>
          <w:b/>
          <w:bCs/>
          <w:sz w:val="21"/>
          <w:szCs w:val="21"/>
        </w:rPr>
      </w:pPr>
      <w:r>
        <w:rPr>
          <w:rFonts w:hint="default" w:ascii="Times New Roman" w:hAnsi="Times New Roman" w:eastAsia="黑体" w:cs="Times New Roman"/>
          <w:b/>
          <w:bCs/>
          <w:sz w:val="21"/>
          <w:szCs w:val="21"/>
        </w:rPr>
        <w:t>表2-</w:t>
      </w:r>
      <w:r>
        <w:rPr>
          <w:rFonts w:hint="default" w:ascii="Times New Roman" w:hAnsi="Times New Roman" w:eastAsia="黑体" w:cs="Times New Roman"/>
          <w:b/>
          <w:bCs/>
          <w:sz w:val="21"/>
          <w:szCs w:val="21"/>
          <w:lang w:val="en-US" w:eastAsia="zh-CN"/>
        </w:rPr>
        <w:t>9</w:t>
      </w:r>
      <w:r>
        <w:rPr>
          <w:rFonts w:hint="default" w:ascii="Times New Roman" w:hAnsi="Times New Roman" w:eastAsia="黑体" w:cs="Times New Roman"/>
          <w:b/>
          <w:bCs/>
          <w:sz w:val="21"/>
          <w:szCs w:val="21"/>
        </w:rPr>
        <w:t xml:space="preserve"> 污染物排放量汇总</w:t>
      </w:r>
    </w:p>
    <w:tbl>
      <w:tblPr>
        <w:tblStyle w:val="216"/>
        <w:tblW w:w="5000" w:type="pct"/>
        <w:tblInd w:w="0" w:type="dxa"/>
        <w:tblLayout w:type="autofit"/>
        <w:tblCellMar>
          <w:top w:w="0" w:type="dxa"/>
          <w:left w:w="0" w:type="dxa"/>
          <w:bottom w:w="0" w:type="dxa"/>
          <w:right w:w="0" w:type="dxa"/>
        </w:tblCellMar>
      </w:tblPr>
      <w:tblGrid>
        <w:gridCol w:w="2020"/>
        <w:gridCol w:w="841"/>
        <w:gridCol w:w="1644"/>
        <w:gridCol w:w="2292"/>
        <w:gridCol w:w="2304"/>
      </w:tblGrid>
      <w:tr>
        <w:tblPrEx>
          <w:tblCellMar>
            <w:top w:w="0" w:type="dxa"/>
            <w:left w:w="0" w:type="dxa"/>
            <w:bottom w:w="0" w:type="dxa"/>
            <w:right w:w="0" w:type="dxa"/>
          </w:tblCellMar>
        </w:tblPrEx>
        <w:trPr>
          <w:trHeight w:val="463" w:hRule="exact"/>
          <w:tblHeader/>
        </w:trPr>
        <w:tc>
          <w:tcPr>
            <w:tcW w:w="1110" w:type="pct"/>
            <w:tcBorders>
              <w:top w:val="single" w:color="000000" w:sz="12" w:space="0"/>
              <w:left w:val="single" w:color="000000" w:sz="12" w:space="0"/>
              <w:bottom w:val="single" w:color="000000" w:sz="12" w:space="0"/>
              <w:right w:val="single" w:color="000000" w:sz="4" w:space="0"/>
            </w:tcBorders>
            <w:vAlign w:val="center"/>
          </w:tcPr>
          <w:p>
            <w:pPr>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类别</w:t>
            </w:r>
          </w:p>
        </w:tc>
        <w:tc>
          <w:tcPr>
            <w:tcW w:w="1365" w:type="pct"/>
            <w:gridSpan w:val="2"/>
            <w:tcBorders>
              <w:top w:val="single" w:color="000000" w:sz="12" w:space="0"/>
              <w:left w:val="single" w:color="000000" w:sz="4" w:space="0"/>
              <w:bottom w:val="single" w:color="000000" w:sz="12" w:space="0"/>
              <w:right w:val="single" w:color="000000" w:sz="4" w:space="0"/>
            </w:tcBorders>
            <w:vAlign w:val="center"/>
          </w:tcPr>
          <w:p>
            <w:pPr>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污染物名称</w:t>
            </w:r>
          </w:p>
        </w:tc>
        <w:tc>
          <w:tcPr>
            <w:tcW w:w="2525" w:type="pct"/>
            <w:gridSpan w:val="2"/>
            <w:tcBorders>
              <w:top w:val="single" w:color="000000" w:sz="12" w:space="0"/>
              <w:left w:val="single" w:color="000000" w:sz="4" w:space="0"/>
              <w:bottom w:val="single" w:color="000000" w:sz="12" w:space="0"/>
              <w:right w:val="single" w:color="000000" w:sz="12" w:space="0"/>
            </w:tcBorders>
            <w:vAlign w:val="center"/>
          </w:tcPr>
          <w:p>
            <w:pPr>
              <w:spacing w:line="307" w:lineRule="exact"/>
              <w:jc w:val="center"/>
              <w:rPr>
                <w:rFonts w:ascii="Calibri" w:hAnsi="Calibri" w:eastAsia="仿宋" w:cs="Times New Roman"/>
                <w:b/>
                <w:kern w:val="0"/>
                <w:sz w:val="21"/>
                <w:szCs w:val="21"/>
                <w:lang w:eastAsia="en-US"/>
              </w:rPr>
            </w:pPr>
            <w:r>
              <w:rPr>
                <w:rFonts w:ascii="Calibri" w:hAnsi="Calibri" w:eastAsia="仿宋" w:cs="Times New Roman"/>
                <w:b/>
                <w:kern w:val="0"/>
                <w:sz w:val="21"/>
                <w:szCs w:val="21"/>
                <w:lang w:eastAsia="en-US"/>
              </w:rPr>
              <w:t>全厂排放量</w:t>
            </w:r>
            <w:r>
              <w:rPr>
                <w:rFonts w:ascii="Calibri" w:hAnsi="Calibri" w:eastAsia="仿宋" w:cs="Times New Roman"/>
                <w:b/>
                <w:spacing w:val="-80"/>
                <w:kern w:val="0"/>
                <w:sz w:val="21"/>
                <w:szCs w:val="21"/>
                <w:lang w:eastAsia="en-US"/>
              </w:rPr>
              <w:t xml:space="preserve"> </w:t>
            </w:r>
            <w:r>
              <w:rPr>
                <w:rFonts w:ascii="Calibri" w:hAnsi="Calibri" w:eastAsia="仿宋" w:cs="Times New Roman"/>
                <w:b/>
                <w:kern w:val="0"/>
                <w:sz w:val="21"/>
                <w:szCs w:val="21"/>
                <w:lang w:eastAsia="en-US"/>
              </w:rPr>
              <w:t>t/a</w:t>
            </w:r>
          </w:p>
        </w:tc>
      </w:tr>
      <w:tr>
        <w:tblPrEx>
          <w:tblCellMar>
            <w:top w:w="0" w:type="dxa"/>
            <w:left w:w="0" w:type="dxa"/>
            <w:bottom w:w="0" w:type="dxa"/>
            <w:right w:w="0" w:type="dxa"/>
          </w:tblCellMar>
        </w:tblPrEx>
        <w:trPr>
          <w:trHeight w:val="362" w:hRule="exact"/>
        </w:trPr>
        <w:tc>
          <w:tcPr>
            <w:tcW w:w="1110" w:type="pct"/>
            <w:vMerge w:val="restart"/>
            <w:tcBorders>
              <w:top w:val="single" w:color="000000" w:sz="12" w:space="0"/>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水污染物指标</w:t>
            </w:r>
          </w:p>
        </w:tc>
        <w:tc>
          <w:tcPr>
            <w:tcW w:w="462" w:type="pct"/>
            <w:vMerge w:val="restart"/>
            <w:tcBorders>
              <w:top w:val="single" w:color="000000" w:sz="12" w:space="0"/>
              <w:left w:val="single" w:color="000000" w:sz="4" w:space="0"/>
              <w:right w:val="single" w:color="000000" w:sz="4" w:space="0"/>
            </w:tcBorders>
            <w:vAlign w:val="center"/>
          </w:tcPr>
          <w:p>
            <w:pPr>
              <w:spacing w:line="27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生活</w:t>
            </w:r>
            <w:r>
              <w:rPr>
                <w:rFonts w:ascii="Calibri" w:hAnsi="Calibri" w:eastAsia="仿宋" w:cs="Times New Roman"/>
                <w:spacing w:val="-103"/>
                <w:kern w:val="0"/>
                <w:sz w:val="21"/>
                <w:szCs w:val="21"/>
                <w:lang w:eastAsia="en-US"/>
              </w:rPr>
              <w:t xml:space="preserve"> </w:t>
            </w:r>
            <w:r>
              <w:rPr>
                <w:rFonts w:ascii="Calibri" w:hAnsi="Calibri" w:eastAsia="仿宋" w:cs="Times New Roman"/>
                <w:kern w:val="0"/>
                <w:sz w:val="21"/>
                <w:szCs w:val="21"/>
                <w:lang w:eastAsia="en-US"/>
              </w:rPr>
              <w:t>污水</w:t>
            </w:r>
          </w:p>
        </w:tc>
        <w:tc>
          <w:tcPr>
            <w:tcW w:w="903" w:type="pct"/>
            <w:vMerge w:val="restart"/>
            <w:tcBorders>
              <w:top w:val="single" w:color="000000" w:sz="12" w:space="0"/>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废水量</w:t>
            </w:r>
          </w:p>
        </w:tc>
        <w:tc>
          <w:tcPr>
            <w:tcW w:w="1259" w:type="pct"/>
            <w:tcBorders>
              <w:top w:val="single" w:color="000000" w:sz="12" w:space="0"/>
              <w:left w:val="single" w:color="000000" w:sz="4" w:space="0"/>
              <w:bottom w:val="single" w:color="000000" w:sz="6"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接管量</w:t>
            </w:r>
          </w:p>
        </w:tc>
        <w:tc>
          <w:tcPr>
            <w:tcW w:w="1266" w:type="pct"/>
            <w:tcBorders>
              <w:top w:val="single" w:color="000000" w:sz="12" w:space="0"/>
              <w:left w:val="single" w:color="000000" w:sz="4" w:space="0"/>
              <w:bottom w:val="single" w:color="000000" w:sz="6" w:space="0"/>
              <w:right w:val="single" w:color="000000" w:sz="12"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外排量</w:t>
            </w:r>
          </w:p>
        </w:tc>
      </w:tr>
      <w:tr>
        <w:tblPrEx>
          <w:tblCellMar>
            <w:top w:w="0" w:type="dxa"/>
            <w:left w:w="0" w:type="dxa"/>
            <w:bottom w:w="0" w:type="dxa"/>
            <w:right w:w="0" w:type="dxa"/>
          </w:tblCellMar>
        </w:tblPrEx>
        <w:trPr>
          <w:trHeight w:val="353"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vMerge w:val="continue"/>
            <w:tcBorders>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1259" w:type="pct"/>
            <w:tcBorders>
              <w:top w:val="single" w:color="000000" w:sz="6" w:space="0"/>
              <w:left w:val="single" w:color="000000" w:sz="4" w:space="0"/>
              <w:bottom w:val="single" w:color="000000" w:sz="4" w:space="0"/>
              <w:right w:val="single" w:color="000000" w:sz="4" w:space="0"/>
            </w:tcBorders>
            <w:vAlign w:val="center"/>
          </w:tcPr>
          <w:p>
            <w:pPr>
              <w:spacing w:line="30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11588</w:t>
            </w:r>
          </w:p>
        </w:tc>
        <w:tc>
          <w:tcPr>
            <w:tcW w:w="1266" w:type="pct"/>
            <w:tcBorders>
              <w:top w:val="single" w:color="000000" w:sz="6" w:space="0"/>
              <w:left w:val="single" w:color="000000" w:sz="4" w:space="0"/>
              <w:bottom w:val="single" w:color="000000" w:sz="4" w:space="0"/>
              <w:right w:val="single" w:color="000000" w:sz="12" w:space="0"/>
            </w:tcBorders>
            <w:vAlign w:val="center"/>
          </w:tcPr>
          <w:p>
            <w:pPr>
              <w:spacing w:line="30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11588</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COD</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4.635</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0.927</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w w:val="95"/>
                <w:kern w:val="0"/>
                <w:sz w:val="21"/>
                <w:szCs w:val="21"/>
                <w:lang w:eastAsia="en-US"/>
              </w:rPr>
              <w:t>SS</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0.29</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1.124</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氨氮</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2.897</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0.811</w:t>
            </w:r>
          </w:p>
        </w:tc>
      </w:tr>
      <w:tr>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TP</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0.0542</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0.112</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restart"/>
            <w:tcBorders>
              <w:top w:val="single" w:color="000000" w:sz="4" w:space="0"/>
              <w:left w:val="single" w:color="000000" w:sz="4" w:space="0"/>
              <w:right w:val="single" w:color="000000" w:sz="4" w:space="0"/>
            </w:tcBorders>
            <w:vAlign w:val="center"/>
          </w:tcPr>
          <w:p>
            <w:pPr>
              <w:spacing w:line="27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工业</w:t>
            </w:r>
            <w:r>
              <w:rPr>
                <w:rFonts w:ascii="Calibri" w:hAnsi="Calibri" w:eastAsia="仿宋" w:cs="Times New Roman"/>
                <w:spacing w:val="-103"/>
                <w:kern w:val="0"/>
                <w:sz w:val="21"/>
                <w:szCs w:val="21"/>
                <w:lang w:eastAsia="en-US"/>
              </w:rPr>
              <w:t xml:space="preserve"> </w:t>
            </w:r>
            <w:r>
              <w:rPr>
                <w:rFonts w:ascii="Calibri" w:hAnsi="Calibri" w:eastAsia="仿宋" w:cs="Times New Roman"/>
                <w:kern w:val="0"/>
                <w:sz w:val="21"/>
                <w:szCs w:val="21"/>
                <w:lang w:eastAsia="en-US"/>
              </w:rPr>
              <w:t>废水</w:t>
            </w: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废水量</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213244</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213244</w:t>
            </w:r>
          </w:p>
        </w:tc>
      </w:tr>
      <w:tr>
        <w:tblPrEx>
          <w:tblCellMar>
            <w:top w:w="0" w:type="dxa"/>
            <w:left w:w="0" w:type="dxa"/>
            <w:bottom w:w="0" w:type="dxa"/>
            <w:right w:w="0" w:type="dxa"/>
          </w:tblCellMar>
        </w:tblPrEx>
        <w:trPr>
          <w:trHeight w:val="348"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5"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COD</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15.723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5"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10.313</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w w:val="95"/>
                <w:kern w:val="0"/>
                <w:sz w:val="21"/>
                <w:szCs w:val="21"/>
                <w:lang w:eastAsia="en-US"/>
              </w:rPr>
              <w:t>SS</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22.973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1.437</w:t>
            </w:r>
          </w:p>
        </w:tc>
      </w:tr>
      <w:tr>
        <w:trPr>
          <w:trHeight w:val="350" w:hRule="exact"/>
        </w:trPr>
        <w:tc>
          <w:tcPr>
            <w:tcW w:w="1110" w:type="pct"/>
            <w:vMerge w:val="continue"/>
            <w:tcBorders>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462" w:type="pct"/>
            <w:vMerge w:val="continue"/>
            <w:tcBorders>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活性氯</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0.03</w:t>
            </w:r>
          </w:p>
        </w:tc>
      </w:tr>
      <w:tr>
        <w:tblPrEx>
          <w:tblCellMar>
            <w:top w:w="0" w:type="dxa"/>
            <w:left w:w="0" w:type="dxa"/>
            <w:bottom w:w="0" w:type="dxa"/>
            <w:right w:w="0" w:type="dxa"/>
          </w:tblCellMar>
        </w:tblPrEx>
        <w:trPr>
          <w:trHeight w:val="350" w:hRule="exact"/>
        </w:trPr>
        <w:tc>
          <w:tcPr>
            <w:tcW w:w="1110" w:type="pct"/>
            <w:vMerge w:val="restart"/>
            <w:tcBorders>
              <w:top w:val="single" w:color="000000" w:sz="4" w:space="0"/>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大气污染物指标</w:t>
            </w: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308"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SO</w:t>
            </w:r>
            <w:r>
              <w:rPr>
                <w:rFonts w:ascii="Calibri" w:hAnsi="Calibri" w:eastAsia="仿宋" w:cs="Times New Roman"/>
                <w:kern w:val="0"/>
                <w:position w:val="-2"/>
                <w:sz w:val="21"/>
                <w:szCs w:val="21"/>
                <w:lang w:eastAsia="en-US"/>
              </w:rPr>
              <w:t>2</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647.84</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硫酸雾</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118.16</w:t>
            </w:r>
          </w:p>
        </w:tc>
      </w:tr>
      <w:tr>
        <w:trPr>
          <w:trHeight w:val="350" w:hRule="exact"/>
        </w:trPr>
        <w:tc>
          <w:tcPr>
            <w:tcW w:w="1110" w:type="pct"/>
            <w:vMerge w:val="continue"/>
            <w:tcBorders>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306" w:lineRule="exact"/>
              <w:jc w:val="center"/>
              <w:rPr>
                <w:rFonts w:ascii="Calibri" w:hAnsi="Calibri" w:eastAsia="仿宋" w:cs="Times New Roman"/>
                <w:kern w:val="0"/>
                <w:sz w:val="21"/>
                <w:szCs w:val="21"/>
                <w:lang w:eastAsia="en-US"/>
              </w:rPr>
            </w:pPr>
            <w:r>
              <w:rPr>
                <w:rFonts w:ascii="Calibri" w:hAnsi="Calibri" w:eastAsia="仿宋" w:cs="Times New Roman"/>
                <w:w w:val="105"/>
                <w:kern w:val="0"/>
                <w:sz w:val="21"/>
                <w:szCs w:val="21"/>
                <w:lang w:eastAsia="en-US"/>
              </w:rPr>
              <w:t>Cl</w:t>
            </w:r>
            <w:r>
              <w:rPr>
                <w:rFonts w:ascii="Calibri" w:hAnsi="Calibri" w:eastAsia="仿宋" w:cs="Times New Roman"/>
                <w:w w:val="105"/>
                <w:kern w:val="0"/>
                <w:position w:val="-2"/>
                <w:sz w:val="21"/>
                <w:szCs w:val="21"/>
                <w:lang w:eastAsia="en-US"/>
              </w:rPr>
              <w:t>2</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1.7</w:t>
            </w:r>
          </w:p>
        </w:tc>
      </w:tr>
      <w:tr>
        <w:tblPrEx>
          <w:tblCellMar>
            <w:top w:w="0" w:type="dxa"/>
            <w:left w:w="0" w:type="dxa"/>
            <w:bottom w:w="0" w:type="dxa"/>
            <w:right w:w="0" w:type="dxa"/>
          </w:tblCellMar>
        </w:tblPrEx>
        <w:trPr>
          <w:trHeight w:val="348" w:hRule="exact"/>
        </w:trPr>
        <w:tc>
          <w:tcPr>
            <w:tcW w:w="1110" w:type="pct"/>
            <w:vMerge w:val="continue"/>
            <w:tcBorders>
              <w:left w:val="single" w:color="000000" w:sz="12"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295" w:lineRule="exact"/>
              <w:jc w:val="center"/>
              <w:rPr>
                <w:rFonts w:ascii="Calibri" w:hAnsi="Calibri" w:eastAsia="仿宋" w:cs="Times New Roman"/>
                <w:kern w:val="0"/>
                <w:sz w:val="21"/>
                <w:szCs w:val="21"/>
                <w:lang w:eastAsia="en-US"/>
              </w:rPr>
            </w:pPr>
            <w:r>
              <w:rPr>
                <w:rFonts w:ascii="Calibri" w:hAnsi="Calibri" w:eastAsia="仿宋" w:cs="Times New Roman"/>
                <w:w w:val="105"/>
                <w:kern w:val="0"/>
                <w:sz w:val="21"/>
                <w:szCs w:val="21"/>
                <w:lang w:eastAsia="en-US"/>
              </w:rPr>
              <w:t>HCl</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1.55</w:t>
            </w:r>
          </w:p>
        </w:tc>
      </w:tr>
      <w:tr>
        <w:tblPrEx>
          <w:tblCellMar>
            <w:top w:w="0" w:type="dxa"/>
            <w:left w:w="0" w:type="dxa"/>
            <w:bottom w:w="0" w:type="dxa"/>
            <w:right w:w="0" w:type="dxa"/>
          </w:tblCellMar>
        </w:tblPrEx>
        <w:trPr>
          <w:trHeight w:val="350" w:hRule="exact"/>
        </w:trPr>
        <w:tc>
          <w:tcPr>
            <w:tcW w:w="1110" w:type="pct"/>
            <w:vMerge w:val="restart"/>
            <w:tcBorders>
              <w:top w:val="single" w:color="000000" w:sz="4" w:space="0"/>
              <w:left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固体废物</w:t>
            </w: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危险废物</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4" w:lineRule="exact"/>
              <w:jc w:val="center"/>
              <w:rPr>
                <w:rFonts w:ascii="Calibri" w:hAnsi="Calibri" w:eastAsia="仿宋" w:cs="Times New Roman"/>
                <w:kern w:val="0"/>
                <w:sz w:val="21"/>
                <w:szCs w:val="21"/>
                <w:lang w:eastAsia="en-US"/>
              </w:rPr>
            </w:pPr>
            <w:r>
              <w:rPr>
                <w:rFonts w:ascii="Calibri" w:hAnsi="Calibri" w:eastAsia="仿宋" w:cs="Times New Roman"/>
                <w:w w:val="90"/>
                <w:kern w:val="0"/>
                <w:sz w:val="21"/>
                <w:szCs w:val="21"/>
                <w:lang w:eastAsia="en-US"/>
              </w:rPr>
              <w:t>0</w:t>
            </w:r>
          </w:p>
        </w:tc>
      </w:tr>
      <w:tr>
        <w:tblPrEx>
          <w:tblCellMar>
            <w:top w:w="0" w:type="dxa"/>
            <w:left w:w="0" w:type="dxa"/>
            <w:bottom w:w="0" w:type="dxa"/>
            <w:right w:w="0" w:type="dxa"/>
          </w:tblCellMar>
        </w:tblPrEx>
        <w:trPr>
          <w:trHeight w:val="360" w:hRule="exact"/>
        </w:trPr>
        <w:tc>
          <w:tcPr>
            <w:tcW w:w="1110" w:type="pct"/>
            <w:vMerge w:val="continue"/>
            <w:tcBorders>
              <w:left w:val="single" w:color="000000" w:sz="12" w:space="0"/>
              <w:bottom w:val="single" w:color="000000" w:sz="12" w:space="0"/>
              <w:right w:val="single" w:color="000000" w:sz="4" w:space="0"/>
            </w:tcBorders>
            <w:vAlign w:val="center"/>
          </w:tcPr>
          <w:p>
            <w:pPr>
              <w:jc w:val="center"/>
              <w:rPr>
                <w:rFonts w:ascii="Calibri" w:hAnsi="Calibri"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12" w:space="0"/>
              <w:right w:val="single" w:color="000000" w:sz="4" w:space="0"/>
            </w:tcBorders>
            <w:vAlign w:val="center"/>
          </w:tcPr>
          <w:p>
            <w:pPr>
              <w:spacing w:line="274" w:lineRule="exact"/>
              <w:jc w:val="center"/>
              <w:rPr>
                <w:rFonts w:ascii="Calibri" w:hAnsi="Calibri" w:eastAsia="仿宋" w:cs="Times New Roman"/>
                <w:kern w:val="0"/>
                <w:sz w:val="21"/>
                <w:szCs w:val="21"/>
                <w:lang w:eastAsia="en-US"/>
              </w:rPr>
            </w:pPr>
            <w:r>
              <w:rPr>
                <w:rFonts w:ascii="Calibri" w:hAnsi="Calibri" w:eastAsia="仿宋" w:cs="Times New Roman"/>
                <w:kern w:val="0"/>
                <w:sz w:val="21"/>
                <w:szCs w:val="21"/>
                <w:lang w:eastAsia="en-US"/>
              </w:rPr>
              <w:t>一般固废</w:t>
            </w:r>
          </w:p>
        </w:tc>
        <w:tc>
          <w:tcPr>
            <w:tcW w:w="2525" w:type="pct"/>
            <w:gridSpan w:val="2"/>
            <w:tcBorders>
              <w:top w:val="single" w:color="000000" w:sz="4" w:space="0"/>
              <w:left w:val="single" w:color="000000" w:sz="4" w:space="0"/>
              <w:bottom w:val="single" w:color="000000" w:sz="12" w:space="0"/>
              <w:right w:val="single" w:color="000000" w:sz="12" w:space="0"/>
            </w:tcBorders>
            <w:vAlign w:val="center"/>
          </w:tcPr>
          <w:p>
            <w:pPr>
              <w:spacing w:line="302" w:lineRule="exact"/>
              <w:jc w:val="center"/>
              <w:rPr>
                <w:rFonts w:ascii="Calibri" w:hAnsi="Calibri" w:eastAsia="仿宋" w:cs="Times New Roman"/>
                <w:kern w:val="0"/>
                <w:sz w:val="21"/>
                <w:szCs w:val="21"/>
                <w:lang w:eastAsia="en-US"/>
              </w:rPr>
            </w:pPr>
            <w:r>
              <w:rPr>
                <w:rFonts w:ascii="Calibri" w:hAnsi="Calibri" w:eastAsia="仿宋" w:cs="Times New Roman"/>
                <w:w w:val="90"/>
                <w:kern w:val="0"/>
                <w:sz w:val="21"/>
                <w:szCs w:val="21"/>
                <w:lang w:eastAsia="en-US"/>
              </w:rPr>
              <w:t>0</w:t>
            </w:r>
          </w:p>
        </w:tc>
      </w:tr>
    </w:tbl>
    <w:p>
      <w:pPr>
        <w:pStyle w:val="6"/>
        <w:autoSpaceDE/>
        <w:autoSpaceDN/>
        <w:spacing w:before="65" w:beforeLines="20" w:after="65" w:afterLines="20" w:line="360" w:lineRule="auto"/>
        <w:ind w:left="0" w:right="0"/>
        <w:jc w:val="left"/>
        <w:rPr>
          <w:rFonts w:ascii="Times New Roman" w:hAnsi="Times New Roman" w:eastAsia="仿宋_GB2312" w:cs="Times New Roman"/>
          <w:color w:val="auto"/>
          <w:kern w:val="2"/>
          <w:sz w:val="24"/>
          <w:szCs w:val="24"/>
          <w:lang w:val="en-US" w:bidi="ar-SA"/>
        </w:rPr>
      </w:pPr>
      <w:bookmarkStart w:id="121" w:name="_Toc28083"/>
      <w:r>
        <w:rPr>
          <w:rFonts w:hint="eastAsia" w:ascii="Times New Roman" w:hAnsi="Times New Roman" w:eastAsia="仿宋_GB2312" w:cs="Times New Roman"/>
          <w:color w:val="auto"/>
          <w:kern w:val="2"/>
          <w:sz w:val="24"/>
          <w:szCs w:val="24"/>
          <w:lang w:val="en-US" w:eastAsia="zh-CN" w:bidi="ar-SA"/>
        </w:rPr>
        <w:t>2.5.6</w:t>
      </w:r>
      <w:r>
        <w:rPr>
          <w:rFonts w:ascii="Times New Roman" w:hAnsi="Times New Roman" w:eastAsia="仿宋_GB2312" w:cs="Times New Roman"/>
          <w:color w:val="auto"/>
          <w:kern w:val="2"/>
          <w:sz w:val="24"/>
          <w:szCs w:val="24"/>
          <w:lang w:val="en-US" w:bidi="ar-SA"/>
        </w:rPr>
        <w:t>环境功能区环境质量标准、排放标准</w:t>
      </w:r>
      <w:bookmarkEnd w:id="120"/>
      <w:bookmarkEnd w:id="12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公司厂区地块属于工业用地类型，采用现行国标《土壤环境质量 建设用地土壤污染风险管控标准</w:t>
      </w:r>
      <w:r>
        <w:rPr>
          <w:rFonts w:hint="eastAsia"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试行）》</w:t>
      </w:r>
      <w:r>
        <w:rPr>
          <w:rFonts w:hint="eastAsia"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GB 36600-2018） 中第二类用地筛选值作为场地土壤环境质量评价标准；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场地地下水则采用现行国标推荐标准《地下水环境质量标准》</w:t>
      </w:r>
      <w:r>
        <w:rPr>
          <w:rFonts w:hint="eastAsia"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GB/T 14848-2017）作为主要评价标准。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若部分污染物在上述标准中未涉及，则可参考其他地方、国外标准进行分析。</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jc w:val="center"/>
        <w:textAlignment w:val="auto"/>
        <w:rPr>
          <w:rFonts w:hint="eastAsia" w:eastAsia="黑体" w:cs="Times New Roman"/>
          <w:b/>
          <w:sz w:val="32"/>
          <w:szCs w:val="32"/>
          <w:lang w:val="en-US"/>
        </w:rPr>
      </w:pPr>
      <w:bookmarkStart w:id="122" w:name="_Toc7429"/>
      <w:bookmarkStart w:id="123" w:name="_Toc26608"/>
      <w:r>
        <w:rPr>
          <w:rFonts w:hint="eastAsia" w:eastAsia="黑体" w:cs="Times New Roman"/>
          <w:b/>
          <w:sz w:val="32"/>
          <w:szCs w:val="32"/>
          <w:lang w:val="en-US"/>
        </w:rPr>
        <w:t>第三章 土壤</w:t>
      </w:r>
      <w:r>
        <w:rPr>
          <w:rFonts w:hint="eastAsia" w:eastAsia="黑体" w:cs="Times New Roman"/>
          <w:b/>
          <w:sz w:val="32"/>
          <w:szCs w:val="32"/>
          <w:lang w:val="en-US" w:eastAsia="zh-CN"/>
        </w:rPr>
        <w:t>及地下水</w:t>
      </w:r>
      <w:r>
        <w:rPr>
          <w:rFonts w:hint="eastAsia" w:eastAsia="黑体" w:cs="Times New Roman"/>
          <w:b/>
          <w:sz w:val="32"/>
          <w:szCs w:val="32"/>
          <w:lang w:val="en-US"/>
        </w:rPr>
        <w:t>环境风险源与环境风险分析</w:t>
      </w:r>
      <w:bookmarkEnd w:id="122"/>
      <w:bookmarkEnd w:id="123"/>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24" w:name="3.1 土壤环境风险源识别"/>
      <w:bookmarkEnd w:id="124"/>
      <w:bookmarkStart w:id="125" w:name="_bookmark13"/>
      <w:bookmarkEnd w:id="125"/>
      <w:bookmarkStart w:id="126" w:name="_Toc3790"/>
      <w:bookmarkStart w:id="127" w:name="_Toc4062"/>
      <w:r>
        <w:rPr>
          <w:rFonts w:hint="eastAsia" w:ascii="Times New Roman" w:hAnsi="Times New Roman" w:eastAsia="黑体" w:cs="Times New Roman"/>
          <w:color w:val="auto"/>
          <w:kern w:val="2"/>
          <w:sz w:val="28"/>
          <w:szCs w:val="28"/>
          <w:lang w:val="en-US" w:eastAsia="zh-CN" w:bidi="ar-SA"/>
        </w:rPr>
        <w:t>3.1土壤及地下水环境风险源识别</w:t>
      </w:r>
      <w:bookmarkEnd w:id="126"/>
      <w:bookmarkEnd w:id="127"/>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企业生产、加工、运输</w:t>
      </w:r>
      <w:r>
        <w:rPr>
          <w:rFonts w:hint="eastAsia"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厂内）、使用、贮存、处置等涉及危险物质的生产过程，以及其他公辅和环保工程所存在的</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环境风险源。</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最易发生</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环境污染事故的单元是</w:t>
      </w:r>
      <w:r>
        <w:rPr>
          <w:rFonts w:hint="default" w:ascii="Times New Roman" w:hAnsi="Times New Roman" w:eastAsia="仿宋_GB2312" w:cs="Times New Roman"/>
          <w:b/>
          <w:bCs/>
          <w:color w:val="auto"/>
          <w:kern w:val="2"/>
          <w:sz w:val="24"/>
          <w:szCs w:val="24"/>
          <w:lang w:val="en-US" w:eastAsia="zh-CN" w:bidi="ar-SA"/>
        </w:rPr>
        <w:t>生产区、原料罐区、废水处理站、固废</w:t>
      </w:r>
      <w:r>
        <w:rPr>
          <w:rFonts w:hint="eastAsia" w:eastAsia="仿宋_GB2312" w:cs="Times New Roman"/>
          <w:b/>
          <w:bCs/>
          <w:color w:val="auto"/>
          <w:kern w:val="2"/>
          <w:sz w:val="24"/>
          <w:szCs w:val="24"/>
          <w:lang w:val="en-US" w:eastAsia="zh-CN" w:bidi="ar-SA"/>
        </w:rPr>
        <w:t>（</w:t>
      </w:r>
      <w:r>
        <w:rPr>
          <w:rFonts w:hint="default" w:ascii="Times New Roman" w:hAnsi="Times New Roman" w:eastAsia="仿宋_GB2312" w:cs="Times New Roman"/>
          <w:b/>
          <w:bCs/>
          <w:color w:val="auto"/>
          <w:kern w:val="2"/>
          <w:sz w:val="24"/>
          <w:szCs w:val="24"/>
          <w:lang w:val="en-US" w:eastAsia="zh-CN" w:bidi="ar-SA"/>
        </w:rPr>
        <w:t>危废）仓库</w:t>
      </w:r>
      <w:r>
        <w:rPr>
          <w:rFonts w:hint="default" w:ascii="Times New Roman" w:hAnsi="Times New Roman" w:eastAsia="仿宋_GB2312" w:cs="Times New Roman"/>
          <w:color w:val="auto"/>
          <w:kern w:val="2"/>
          <w:sz w:val="24"/>
          <w:szCs w:val="24"/>
          <w:lang w:val="en-US" w:eastAsia="zh-CN" w:bidi="ar-SA"/>
        </w:rPr>
        <w:t>等，是防范事故的重点区域。人为操作失误、防护不力、管理措施不到位和工作场所的设备设施存在隐患是造成事故发生的主要缘由。</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28" w:name="3.3.1 原料储罐"/>
      <w:bookmarkEnd w:id="128"/>
      <w:bookmarkStart w:id="129" w:name="3.3.1 原料储罐"/>
      <w:bookmarkEnd w:id="129"/>
      <w:bookmarkStart w:id="130" w:name="_Toc13848"/>
      <w:bookmarkStart w:id="131" w:name="_Toc27769"/>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.1原料储罐</w:t>
      </w:r>
      <w:bookmarkEnd w:id="130"/>
      <w:bookmarkEnd w:id="131"/>
    </w:p>
    <w:p>
      <w:pPr>
        <w:spacing w:line="360" w:lineRule="auto"/>
        <w:ind w:firstLine="573"/>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我公司</w:t>
      </w:r>
      <w:r>
        <w:rPr>
          <w:rFonts w:hint="eastAsia" w:ascii="Times New Roman" w:hAnsi="Times New Roman" w:eastAsia="仿宋_GB2312" w:cs="Times New Roman"/>
          <w:color w:val="auto"/>
          <w:kern w:val="2"/>
          <w:sz w:val="24"/>
          <w:szCs w:val="24"/>
          <w:lang w:val="en-US" w:eastAsia="zh-CN" w:bidi="ar-SA"/>
        </w:rPr>
        <w:t>各罐区均设置了围堰，氯贮槽置于单独可封闭库房内，正常情况下，电动卷闸门处于开启状态，库房自然通风；当发生氯气泄漏时，库房内的氯气检测报警仪启动联锁功能，将电动卷闸门关闭，自动开启库房外侧环绕的碱液和工业水管上的遥控阀，对卷闸门、固定窗等氯气易泄露处喷淋吸收，同时自动开启事故尾气处理系统的事故风机、事故循环泵以及两级碱液冷却器的循环水进行换热降温，通过两级事故塔对尾气进行两级碱液喷淋吸收；具有阴极保护特征和储罐预警系统的储罐产生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污染的可能性较低</w:t>
      </w:r>
      <w:r>
        <w:rPr>
          <w:rFonts w:hint="eastAsia" w:eastAsia="仿宋_GB2312" w:cs="Times New Roman"/>
          <w:color w:val="auto"/>
          <w:kern w:val="2"/>
          <w:sz w:val="24"/>
          <w:szCs w:val="24"/>
          <w:lang w:val="en-US" w:eastAsia="zh-CN" w:bidi="ar-SA"/>
        </w:rPr>
        <w:t>，</w:t>
      </w:r>
      <w:r>
        <w:rPr>
          <w:rFonts w:hint="eastAsia" w:ascii="Times New Roman" w:hAnsi="Times New Roman" w:eastAsia="仿宋_GB2312" w:cs="Times New Roman"/>
          <w:color w:val="auto"/>
          <w:kern w:val="2"/>
          <w:sz w:val="24"/>
          <w:szCs w:val="24"/>
          <w:lang w:val="en-US" w:eastAsia="zh-CN" w:bidi="ar-SA"/>
        </w:rPr>
        <w:t>储罐预警系统主要检测罐体的泄露，检查侧重于罐体的下表面、进料口、出料口、法兰、排尽口、基槽和围堰等部位的泄漏情况。</w:t>
      </w:r>
    </w:p>
    <w:p>
      <w:pPr>
        <w:spacing w:line="360" w:lineRule="auto"/>
        <w:ind w:firstLine="573"/>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其它罐区地面均做了防腐防渗措施，围堰内设有导流沟，集水井，有截流切换阀和水泵，泄漏时通过切换阀可泵至事故应急池；</w:t>
      </w:r>
      <w:r>
        <w:rPr>
          <w:rFonts w:hint="eastAsia" w:eastAsia="仿宋_GB2312" w:cs="Times New Roman"/>
          <w:color w:val="auto"/>
          <w:kern w:val="2"/>
          <w:sz w:val="24"/>
          <w:szCs w:val="24"/>
          <w:lang w:val="en-US" w:eastAsia="zh-CN" w:bidi="ar-SA"/>
        </w:rPr>
        <w:t>通过以上措施，降低储罐泄漏对土壤及地下水污染的可能性。</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无渗漏措施和泄漏预警系统的单层罐和双层罐都易造成</w:t>
      </w:r>
      <w:r>
        <w:rPr>
          <w:rFonts w:hint="eastAsia" w:ascii="Times New Roman" w:hAnsi="Times New Roman"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bookmarkStart w:id="132" w:name="表3-1  我单位储罐一览表"/>
      <w:bookmarkEnd w:id="132"/>
      <w:r>
        <w:rPr>
          <w:rFonts w:hint="eastAsia" w:ascii="Times New Roman" w:hAnsi="Times New Roman" w:eastAsia="黑体" w:cs="Times New Roman"/>
          <w:b/>
          <w:bCs/>
          <w:color w:val="auto"/>
          <w:kern w:val="2"/>
          <w:sz w:val="21"/>
          <w:szCs w:val="21"/>
          <w:lang w:val="en-US" w:eastAsia="zh-CN" w:bidi="ar-SA"/>
        </w:rPr>
        <w:t>表 3-1</w:t>
      </w:r>
      <w:r>
        <w:rPr>
          <w:rFonts w:hint="eastAsia" w:ascii="Times New Roman" w:hAnsi="Times New Roman" w:eastAsia="黑体" w:cs="Times New Roman"/>
          <w:b/>
          <w:bCs/>
          <w:color w:val="auto"/>
          <w:kern w:val="2"/>
          <w:sz w:val="21"/>
          <w:szCs w:val="21"/>
          <w:lang w:val="en-US" w:eastAsia="zh-CN" w:bidi="ar-SA"/>
        </w:rPr>
        <w:tab/>
      </w:r>
      <w:r>
        <w:rPr>
          <w:rFonts w:hint="eastAsia" w:ascii="Times New Roman" w:hAnsi="Times New Roman" w:eastAsia="黑体" w:cs="Times New Roman"/>
          <w:b/>
          <w:bCs/>
          <w:color w:val="auto"/>
          <w:kern w:val="2"/>
          <w:sz w:val="21"/>
          <w:szCs w:val="21"/>
          <w:lang w:val="en-US" w:eastAsia="zh-CN" w:bidi="ar-SA"/>
        </w:rPr>
        <w:t>储罐一览表</w:t>
      </w:r>
    </w:p>
    <w:tbl>
      <w:tblPr>
        <w:tblStyle w:val="36"/>
        <w:tblW w:w="51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84"/>
        <w:gridCol w:w="1697"/>
        <w:gridCol w:w="1220"/>
        <w:gridCol w:w="758"/>
        <w:gridCol w:w="758"/>
        <w:gridCol w:w="1449"/>
        <w:gridCol w:w="2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6" w:hRule="atLeast"/>
          <w:tblHeader/>
          <w:jc w:val="center"/>
        </w:trPr>
        <w:tc>
          <w:tcPr>
            <w:tcW w:w="684" w:type="dxa"/>
            <w:noWrap w:val="0"/>
            <w:vAlign w:val="center"/>
          </w:tcPr>
          <w:p>
            <w:pPr>
              <w:spacing w:line="306" w:lineRule="exact"/>
              <w:jc w:val="center"/>
              <w:rPr>
                <w:rFonts w:ascii="Calibri" w:hAnsi="Calibri" w:eastAsia="仿宋" w:cs="Times New Roman"/>
                <w:b/>
                <w:bCs/>
                <w:w w:val="105"/>
                <w:kern w:val="0"/>
                <w:sz w:val="21"/>
                <w:szCs w:val="21"/>
                <w:lang w:eastAsia="en-US"/>
              </w:rPr>
            </w:pPr>
            <w:bookmarkStart w:id="133" w:name="3.3.2 装车与卸货"/>
            <w:bookmarkEnd w:id="133"/>
            <w:bookmarkStart w:id="134" w:name="3.3.2 装车与卸货"/>
            <w:bookmarkEnd w:id="134"/>
            <w:bookmarkStart w:id="135" w:name="_Toc20501"/>
            <w:r>
              <w:rPr>
                <w:rFonts w:ascii="Calibri" w:hAnsi="Calibri" w:eastAsia="仿宋" w:cs="Times New Roman"/>
                <w:b/>
                <w:bCs/>
                <w:w w:val="105"/>
                <w:kern w:val="0"/>
                <w:sz w:val="21"/>
                <w:szCs w:val="21"/>
                <w:lang w:eastAsia="en-US"/>
              </w:rPr>
              <w:t>序号</w:t>
            </w:r>
          </w:p>
        </w:tc>
        <w:tc>
          <w:tcPr>
            <w:tcW w:w="1697" w:type="dxa"/>
            <w:noWrap w:val="0"/>
            <w:vAlign w:val="center"/>
          </w:tcPr>
          <w:p>
            <w:pPr>
              <w:spacing w:line="306" w:lineRule="exact"/>
              <w:jc w:val="center"/>
              <w:rPr>
                <w:rFonts w:ascii="Calibri" w:hAnsi="Calibri" w:eastAsia="仿宋" w:cs="Times New Roman"/>
                <w:b/>
                <w:bCs/>
                <w:w w:val="105"/>
                <w:kern w:val="0"/>
                <w:sz w:val="21"/>
                <w:szCs w:val="21"/>
                <w:lang w:eastAsia="en-US"/>
              </w:rPr>
            </w:pPr>
            <w:r>
              <w:rPr>
                <w:rFonts w:ascii="Calibri" w:hAnsi="Calibri" w:eastAsia="仿宋" w:cs="Times New Roman"/>
                <w:b/>
                <w:bCs/>
                <w:w w:val="105"/>
                <w:kern w:val="0"/>
                <w:sz w:val="21"/>
                <w:szCs w:val="21"/>
                <w:lang w:eastAsia="en-US"/>
              </w:rPr>
              <w:t>储罐名称</w:t>
            </w:r>
          </w:p>
        </w:tc>
        <w:tc>
          <w:tcPr>
            <w:tcW w:w="1220" w:type="dxa"/>
            <w:noWrap w:val="0"/>
            <w:vAlign w:val="center"/>
          </w:tcPr>
          <w:p>
            <w:pPr>
              <w:spacing w:line="306" w:lineRule="exact"/>
              <w:jc w:val="center"/>
              <w:rPr>
                <w:rFonts w:hint="eastAsia" w:ascii="Calibri" w:hAnsi="Calibri" w:eastAsia="仿宋" w:cs="Times New Roman"/>
                <w:b/>
                <w:bCs/>
                <w:w w:val="105"/>
                <w:kern w:val="0"/>
                <w:sz w:val="21"/>
                <w:szCs w:val="21"/>
                <w:lang w:eastAsia="zh-CN"/>
              </w:rPr>
            </w:pPr>
            <w:r>
              <w:rPr>
                <w:rFonts w:ascii="Calibri" w:hAnsi="Calibri" w:eastAsia="仿宋" w:cs="Times New Roman"/>
                <w:b/>
                <w:bCs/>
                <w:w w:val="105"/>
                <w:kern w:val="0"/>
                <w:sz w:val="21"/>
                <w:szCs w:val="21"/>
                <w:lang w:eastAsia="en-US"/>
              </w:rPr>
              <w:t>规格</w:t>
            </w:r>
            <w:r>
              <w:rPr>
                <w:rFonts w:hint="eastAsia" w:ascii="Calibri" w:hAnsi="Calibri" w:eastAsia="仿宋" w:cs="Times New Roman"/>
                <w:b/>
                <w:bCs/>
                <w:w w:val="105"/>
                <w:kern w:val="0"/>
                <w:sz w:val="21"/>
                <w:szCs w:val="21"/>
                <w:lang w:eastAsia="zh-CN"/>
              </w:rPr>
              <w:t>（</w:t>
            </w:r>
            <w:r>
              <w:rPr>
                <w:rFonts w:ascii="Calibri" w:hAnsi="Calibri" w:eastAsia="仿宋" w:cs="Times New Roman"/>
                <w:b/>
                <w:bCs/>
                <w:w w:val="105"/>
                <w:kern w:val="0"/>
                <w:sz w:val="21"/>
                <w:szCs w:val="21"/>
                <w:lang w:eastAsia="en-US"/>
              </w:rPr>
              <w:t>m</w:t>
            </w:r>
            <w:r>
              <w:rPr>
                <w:rFonts w:ascii="Calibri" w:hAnsi="Calibri" w:eastAsia="仿宋" w:cs="Times New Roman"/>
                <w:b/>
                <w:bCs/>
                <w:w w:val="105"/>
                <w:kern w:val="0"/>
                <w:sz w:val="21"/>
                <w:szCs w:val="21"/>
                <w:vertAlign w:val="superscript"/>
                <w:lang w:eastAsia="en-US"/>
              </w:rPr>
              <w:t>3</w:t>
            </w:r>
            <w:r>
              <w:rPr>
                <w:rFonts w:hint="eastAsia" w:ascii="Calibri" w:hAnsi="Calibri" w:eastAsia="仿宋" w:cs="Times New Roman"/>
                <w:b/>
                <w:bCs/>
                <w:w w:val="105"/>
                <w:kern w:val="0"/>
                <w:sz w:val="21"/>
                <w:szCs w:val="21"/>
                <w:lang w:eastAsia="zh-CN"/>
              </w:rPr>
              <w:t>）</w:t>
            </w:r>
          </w:p>
        </w:tc>
        <w:tc>
          <w:tcPr>
            <w:tcW w:w="758" w:type="dxa"/>
            <w:noWrap w:val="0"/>
            <w:vAlign w:val="center"/>
          </w:tcPr>
          <w:p>
            <w:pPr>
              <w:spacing w:line="306" w:lineRule="exact"/>
              <w:jc w:val="center"/>
              <w:rPr>
                <w:rFonts w:ascii="Calibri" w:hAnsi="Calibri" w:eastAsia="仿宋" w:cs="Times New Roman"/>
                <w:b/>
                <w:bCs/>
                <w:w w:val="105"/>
                <w:kern w:val="0"/>
                <w:sz w:val="21"/>
                <w:szCs w:val="21"/>
                <w:lang w:eastAsia="en-US"/>
              </w:rPr>
            </w:pPr>
            <w:r>
              <w:rPr>
                <w:rFonts w:ascii="Calibri" w:hAnsi="Calibri" w:eastAsia="仿宋" w:cs="Times New Roman"/>
                <w:b/>
                <w:bCs/>
                <w:w w:val="105"/>
                <w:kern w:val="0"/>
                <w:sz w:val="21"/>
                <w:szCs w:val="21"/>
                <w:lang w:eastAsia="en-US"/>
              </w:rPr>
              <w:t>单位</w:t>
            </w:r>
          </w:p>
        </w:tc>
        <w:tc>
          <w:tcPr>
            <w:tcW w:w="758" w:type="dxa"/>
            <w:noWrap w:val="0"/>
            <w:vAlign w:val="center"/>
          </w:tcPr>
          <w:p>
            <w:pPr>
              <w:spacing w:line="306" w:lineRule="exact"/>
              <w:jc w:val="center"/>
              <w:rPr>
                <w:rFonts w:ascii="Calibri" w:hAnsi="Calibri" w:eastAsia="仿宋" w:cs="Times New Roman"/>
                <w:b/>
                <w:bCs/>
                <w:w w:val="105"/>
                <w:kern w:val="0"/>
                <w:sz w:val="21"/>
                <w:szCs w:val="21"/>
                <w:lang w:eastAsia="en-US"/>
              </w:rPr>
            </w:pPr>
            <w:r>
              <w:rPr>
                <w:rFonts w:ascii="Calibri" w:hAnsi="Calibri" w:eastAsia="仿宋" w:cs="Times New Roman"/>
                <w:b/>
                <w:bCs/>
                <w:w w:val="105"/>
                <w:kern w:val="0"/>
                <w:sz w:val="21"/>
                <w:szCs w:val="21"/>
                <w:lang w:eastAsia="en-US"/>
              </w:rPr>
              <w:t>数量</w:t>
            </w:r>
          </w:p>
        </w:tc>
        <w:tc>
          <w:tcPr>
            <w:tcW w:w="1449" w:type="dxa"/>
            <w:noWrap w:val="0"/>
            <w:vAlign w:val="center"/>
          </w:tcPr>
          <w:p>
            <w:pPr>
              <w:spacing w:line="306" w:lineRule="exact"/>
              <w:jc w:val="center"/>
              <w:rPr>
                <w:rFonts w:ascii="Calibri" w:hAnsi="Calibri" w:eastAsia="仿宋" w:cs="Times New Roman"/>
                <w:b/>
                <w:bCs/>
                <w:w w:val="105"/>
                <w:kern w:val="0"/>
                <w:sz w:val="21"/>
                <w:szCs w:val="21"/>
                <w:lang w:eastAsia="en-US"/>
              </w:rPr>
            </w:pPr>
            <w:r>
              <w:rPr>
                <w:rFonts w:ascii="Calibri" w:hAnsi="Calibri" w:eastAsia="仿宋" w:cs="Times New Roman"/>
                <w:b/>
                <w:bCs/>
                <w:w w:val="105"/>
                <w:kern w:val="0"/>
                <w:sz w:val="21"/>
                <w:szCs w:val="21"/>
                <w:lang w:eastAsia="en-US"/>
              </w:rPr>
              <w:t>最大储存量</w:t>
            </w:r>
          </w:p>
        </w:tc>
        <w:tc>
          <w:tcPr>
            <w:tcW w:w="2811" w:type="dxa"/>
            <w:noWrap w:val="0"/>
            <w:vAlign w:val="center"/>
          </w:tcPr>
          <w:p>
            <w:pPr>
              <w:spacing w:line="306" w:lineRule="exact"/>
              <w:jc w:val="center"/>
              <w:rPr>
                <w:rFonts w:hint="eastAsia" w:ascii="Calibri" w:hAnsi="Calibri" w:eastAsia="仿宋" w:cs="Times New Roman"/>
                <w:b/>
                <w:bCs/>
                <w:w w:val="105"/>
                <w:kern w:val="0"/>
                <w:sz w:val="21"/>
                <w:szCs w:val="21"/>
                <w:lang w:eastAsia="en-US"/>
              </w:rPr>
            </w:pPr>
            <w:r>
              <w:rPr>
                <w:rFonts w:hint="eastAsia" w:ascii="Calibri" w:hAnsi="Calibri" w:eastAsia="仿宋" w:cs="Times New Roman"/>
                <w:b/>
                <w:bCs/>
                <w:w w:val="105"/>
                <w:kern w:val="0"/>
                <w:sz w:val="21"/>
                <w:szCs w:val="21"/>
                <w:lang w:eastAsia="en-U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1</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液氯储罐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80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8</w:t>
            </w:r>
          </w:p>
        </w:tc>
        <w:tc>
          <w:tcPr>
            <w:tcW w:w="1449" w:type="dxa"/>
            <w:noWrap w:val="0"/>
            <w:vAlign w:val="center"/>
          </w:tcPr>
          <w:p>
            <w:pPr>
              <w:spacing w:line="306" w:lineRule="exact"/>
              <w:jc w:val="center"/>
              <w:rPr>
                <w:rFonts w:hint="eastAsia"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600t</w:t>
            </w:r>
          </w:p>
        </w:tc>
        <w:tc>
          <w:tcPr>
            <w:tcW w:w="2811" w:type="dxa"/>
            <w:noWrap w:val="0"/>
            <w:vAlign w:val="center"/>
          </w:tcPr>
          <w:p>
            <w:pPr>
              <w:spacing w:line="306" w:lineRule="exact"/>
              <w:jc w:val="center"/>
              <w:rPr>
                <w:rFonts w:hint="eastAsia"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卧式储罐，生产区内设液氯储罐区，内设两个储罐区，每个储罐区内4个液氯储罐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2</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氯磺酸储罐</w:t>
            </w:r>
          </w:p>
        </w:tc>
        <w:tc>
          <w:tcPr>
            <w:tcW w:w="1220" w:type="dxa"/>
            <w:noWrap w:val="0"/>
            <w:vAlign w:val="top"/>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500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2</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1000t</w:t>
            </w:r>
          </w:p>
        </w:tc>
        <w:tc>
          <w:tcPr>
            <w:tcW w:w="2811" w:type="dxa"/>
            <w:vMerge w:val="restart"/>
            <w:noWrap w:val="0"/>
            <w:vAlign w:val="center"/>
          </w:tcPr>
          <w:p>
            <w:pPr>
              <w:spacing w:line="306" w:lineRule="exact"/>
              <w:jc w:val="center"/>
              <w:rPr>
                <w:rFonts w:hint="eastAsia"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储罐区一（东）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3</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次氯酸钠储罐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90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2</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180t</w:t>
            </w:r>
          </w:p>
        </w:tc>
        <w:tc>
          <w:tcPr>
            <w:tcW w:w="2811" w:type="dxa"/>
            <w:vMerge w:val="continue"/>
            <w:noWrap w:val="0"/>
            <w:vAlign w:val="center"/>
          </w:tcPr>
          <w:p>
            <w:pPr>
              <w:spacing w:line="306" w:lineRule="exact"/>
              <w:jc w:val="center"/>
              <w:rPr>
                <w:rFonts w:hint="eastAsia" w:ascii="Calibri" w:hAnsi="Calibri" w:eastAsia="仿宋" w:cs="Times New Roman"/>
                <w:w w:val="105"/>
                <w:kern w:val="0"/>
                <w:sz w:val="21"/>
                <w:szCs w:val="21"/>
                <w:lang w:eastAsia="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4</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盐酸储罐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400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2</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800t</w:t>
            </w:r>
          </w:p>
        </w:tc>
        <w:tc>
          <w:tcPr>
            <w:tcW w:w="2811" w:type="dxa"/>
            <w:vMerge w:val="continue"/>
            <w:noWrap w:val="0"/>
            <w:vAlign w:val="center"/>
          </w:tcPr>
          <w:p>
            <w:pPr>
              <w:spacing w:line="306" w:lineRule="exact"/>
              <w:jc w:val="center"/>
              <w:rPr>
                <w:rFonts w:hint="eastAsia" w:ascii="Calibri" w:hAnsi="Calibri" w:eastAsia="仿宋" w:cs="Times New Roman"/>
                <w:w w:val="105"/>
                <w:kern w:val="0"/>
                <w:sz w:val="21"/>
                <w:szCs w:val="21"/>
                <w:lang w:eastAsia="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3"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5</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硫酸储罐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6000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8</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80000t</w:t>
            </w:r>
          </w:p>
        </w:tc>
        <w:tc>
          <w:tcPr>
            <w:tcW w:w="2811" w:type="dxa"/>
            <w:vMerge w:val="restart"/>
            <w:noWrap w:val="0"/>
            <w:vAlign w:val="center"/>
          </w:tcPr>
          <w:p>
            <w:pPr>
              <w:spacing w:line="306" w:lineRule="exact"/>
              <w:jc w:val="center"/>
              <w:rPr>
                <w:rFonts w:hint="eastAsia"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储罐区二（西）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6</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发烟硫酸储罐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2000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1</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3060t</w:t>
            </w:r>
          </w:p>
        </w:tc>
        <w:tc>
          <w:tcPr>
            <w:tcW w:w="2811" w:type="dxa"/>
            <w:vMerge w:val="continue"/>
            <w:noWrap w:val="0"/>
            <w:vAlign w:val="center"/>
          </w:tcPr>
          <w:p>
            <w:pPr>
              <w:jc w:val="center"/>
              <w:rPr>
                <w:rFonts w:eastAsia="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7</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液硫</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3000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6</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3</w:t>
            </w:r>
            <w:r>
              <w:rPr>
                <w:rFonts w:ascii="Calibri" w:hAnsi="Calibri" w:eastAsia="仿宋" w:cs="Times New Roman"/>
                <w:w w:val="105"/>
                <w:kern w:val="0"/>
                <w:sz w:val="21"/>
                <w:szCs w:val="21"/>
                <w:lang w:eastAsia="en-US"/>
              </w:rPr>
              <w:t>0000t</w:t>
            </w:r>
          </w:p>
        </w:tc>
        <w:tc>
          <w:tcPr>
            <w:tcW w:w="2811" w:type="dxa"/>
            <w:vMerge w:val="continue"/>
            <w:noWrap w:val="0"/>
            <w:vAlign w:val="center"/>
          </w:tcPr>
          <w:p>
            <w:pPr>
              <w:jc w:val="center"/>
              <w:rPr>
                <w:rFonts w:eastAsia="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 w:hRule="atLeast"/>
          <w:jc w:val="center"/>
        </w:trPr>
        <w:tc>
          <w:tcPr>
            <w:tcW w:w="684" w:type="dxa"/>
            <w:noWrap w:val="0"/>
            <w:vAlign w:val="center"/>
          </w:tcPr>
          <w:p>
            <w:pPr>
              <w:spacing w:line="306" w:lineRule="exact"/>
              <w:jc w:val="center"/>
              <w:rPr>
                <w:rFonts w:ascii="Calibri" w:hAnsi="Calibri" w:eastAsia="仿宋" w:cs="Times New Roman"/>
                <w:w w:val="105"/>
                <w:kern w:val="0"/>
                <w:sz w:val="21"/>
                <w:szCs w:val="21"/>
                <w:lang w:eastAsia="en-US"/>
              </w:rPr>
            </w:pPr>
            <w:r>
              <w:rPr>
                <w:rFonts w:hint="eastAsia" w:ascii="Calibri" w:hAnsi="Calibri" w:eastAsia="仿宋" w:cs="Times New Roman"/>
                <w:w w:val="105"/>
                <w:kern w:val="0"/>
                <w:sz w:val="21"/>
                <w:szCs w:val="21"/>
                <w:lang w:eastAsia="en-US"/>
              </w:rPr>
              <w:t>8</w:t>
            </w:r>
          </w:p>
        </w:tc>
        <w:tc>
          <w:tcPr>
            <w:tcW w:w="1697"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液碱储罐</w:t>
            </w:r>
          </w:p>
        </w:tc>
        <w:tc>
          <w:tcPr>
            <w:tcW w:w="1220"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6000</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个</w:t>
            </w:r>
          </w:p>
        </w:tc>
        <w:tc>
          <w:tcPr>
            <w:tcW w:w="758"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5</w:t>
            </w:r>
          </w:p>
        </w:tc>
        <w:tc>
          <w:tcPr>
            <w:tcW w:w="1449" w:type="dxa"/>
            <w:noWrap w:val="0"/>
            <w:vAlign w:val="center"/>
          </w:tcPr>
          <w:p>
            <w:pPr>
              <w:spacing w:line="306" w:lineRule="exact"/>
              <w:jc w:val="center"/>
              <w:rPr>
                <w:rFonts w:ascii="Calibri" w:hAnsi="Calibri" w:eastAsia="仿宋" w:cs="Times New Roman"/>
                <w:w w:val="105"/>
                <w:kern w:val="0"/>
                <w:sz w:val="21"/>
                <w:szCs w:val="21"/>
                <w:lang w:eastAsia="en-US"/>
              </w:rPr>
            </w:pPr>
            <w:r>
              <w:rPr>
                <w:rFonts w:ascii="Calibri" w:hAnsi="Calibri" w:eastAsia="仿宋" w:cs="Times New Roman"/>
                <w:w w:val="105"/>
                <w:kern w:val="0"/>
                <w:sz w:val="21"/>
                <w:szCs w:val="21"/>
                <w:lang w:eastAsia="en-US"/>
              </w:rPr>
              <w:t>48000t</w:t>
            </w:r>
          </w:p>
        </w:tc>
        <w:tc>
          <w:tcPr>
            <w:tcW w:w="2811" w:type="dxa"/>
            <w:vMerge w:val="continue"/>
            <w:noWrap w:val="0"/>
            <w:vAlign w:val="center"/>
          </w:tcPr>
          <w:p>
            <w:pPr>
              <w:jc w:val="center"/>
              <w:rPr>
                <w:rFonts w:eastAsia="仿宋"/>
                <w:sz w:val="24"/>
              </w:rPr>
            </w:pPr>
          </w:p>
        </w:tc>
      </w:tr>
    </w:tbl>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36" w:name="_Toc909"/>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.2装车与卸货</w:t>
      </w:r>
      <w:bookmarkEnd w:id="135"/>
      <w:bookmarkEnd w:id="136"/>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若装卸平台防渗和溢流收集设施效果不佳，容易造成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污染。散装液体装卸需要有清晰的灌注和抽出说明，并且需要设计专门设施和措施以防止过度灌注。</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易燃易爆物质卸车时，如空气进入槽车，与槽内蒸汽形成爆炸性混合物，达到爆炸极限，如槽车接地不好产生静电火花有发生火灾爆炸的可能；车辆碰撞管道设备造成设备损坏，物料泄漏遇明火有发生火灾爆炸的可能。</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若进料口、出料口、抽提管道连接处、阀门、法兰和排放口泄露，且溢流收集装置和防渗设施效果不佳，易造成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spacing w:line="360" w:lineRule="auto"/>
        <w:ind w:firstLine="480" w:firstLineChars="200"/>
        <w:rPr>
          <w:rFonts w:eastAsia="仿宋" w:cs="Times New Roman"/>
        </w:rPr>
      </w:pPr>
      <w:bookmarkStart w:id="137" w:name="3.3.3 管道运输"/>
      <w:bookmarkEnd w:id="137"/>
      <w:bookmarkStart w:id="138" w:name="3.3.3 管道运输"/>
      <w:bookmarkEnd w:id="138"/>
      <w:bookmarkStart w:id="139" w:name="_Toc5401"/>
      <w:r>
        <w:rPr>
          <w:rFonts w:hint="eastAsia" w:eastAsia="仿宋" w:cs="Times New Roman"/>
        </w:rPr>
        <w:t>厂区涉及到的散装液体的装卸为硫酸、发烟硫酸、氯磺酸、亚硫酸钠、烧碱、液氯、次氯酸钠、盐酸产品和液硫、催化剂、氢氧化钠溶液、亚硫酸钠、高纯盐酸、浓硫酸等原辅材料及废矿物油等。厂区内散装液体采用槽车汽运和码头管道船运相结合的方式进行装卸，槽车在指定装卸区域，由管道将液体材料直接输入至槽车内或从槽车内输入至储罐中，部分液体材料由码头管道输送至码头船运或输送至厂区内储罐区，厂区内部分液体原辅材料由厂内管道进行装卸，废矿物油由密封桶装收集后暂存在危废仓库，然后由有危险废物处理资质的公司收回处置。整个装卸全程均有专业人员在现场监督管理，同时作业区域地面均做水泥硬化防渗设施，有防腐、防雨、泄压和止逆措施，并配备检测报警和消防设施，进料口、出料口、抽提管道连接处、阀门、法兰和排放口未出现撒落、溢流、泄露等现象，也未发生过运输车辆侧翻等情况，并有紧急事故处置的管理措施，目前对土壤及地下水环境污染风险可能性较小。</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40" w:name="_Toc25973"/>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.3管道运输</w:t>
      </w:r>
      <w:bookmarkEnd w:id="139"/>
      <w:bookmarkEnd w:id="140"/>
    </w:p>
    <w:p>
      <w:pPr>
        <w:pStyle w:val="2"/>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输送物料的管道，如果管架间距大，会造成管道下坠，严重时会造成管道折断，管道排空阀泄漏，管道设计不合理，如无防膨胀措施、管道与电缆共同、平行敷设、管道防静电措施不当或无防静电措施等都有造成火灾爆炸的危险。</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定期检查一般能识别地上管道泄漏，否则管道若发生泄漏极易造成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污染。地下管线需要有防腐、防渗或阴极检测等设计才能预防泄漏。无保护系统的地下管线都极易产生</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污染，尤其对于管道阀门、法兰等位置，液体泄漏直接进入</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导致污染。</w:t>
      </w:r>
    </w:p>
    <w:p>
      <w:pPr>
        <w:spacing w:line="360" w:lineRule="auto"/>
        <w:ind w:firstLine="480" w:firstLineChars="200"/>
        <w:rPr>
          <w:rFonts w:eastAsia="仿宋" w:cs="Times New Roman"/>
        </w:rPr>
      </w:pPr>
      <w:bookmarkStart w:id="141" w:name="_Toc1400"/>
      <w:r>
        <w:rPr>
          <w:rFonts w:hint="eastAsia" w:eastAsia="仿宋" w:cs="Times New Roman"/>
          <w:lang w:eastAsia="zh-CN"/>
        </w:rPr>
        <w:t>本公司</w:t>
      </w:r>
      <w:r>
        <w:rPr>
          <w:rFonts w:hint="eastAsia" w:eastAsia="仿宋" w:cs="Times New Roman"/>
        </w:rPr>
        <w:t>涉及到液体管道运输的主要为硫酸、发烟硫酸、氯磺酸、亚硫酸钠、烧碱、液氯、次氯酸钠、盐酸、液硫、氢氧化钠溶液、亚硫酸钠、高纯盐酸、浓硫酸、循环水、生产用水和污、废水处理、清下水、雨水的输送管道。以上运输管道密闭性均完好，大部分架空安置于管廊中，各个管道的阀门、法兰完好，未出现“跑、冒、滴、漏”的现象，管道及其配套仪表均选用合格产品，布置检测报警设施、隔热层和防静电跨接及接地等防护措施及泄压和止逆措施，设备管道有防腐保护，且配有专业人员对装置的管道阀门、法兰等接口处定期或不定期的巡回检查，并定期保养、维修，并有紧急事故处置的防控管理措施。</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42" w:name="_Toc215"/>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.4输送泵</w:t>
      </w:r>
      <w:bookmarkEnd w:id="141"/>
      <w:bookmarkEnd w:id="142"/>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泵存放位置没有做任何防渗处理时，可能造成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污染。此外，因为泵经常连接到大的存储设备或加工厂，泵的故障，及阀门操作不当都可导致大量液体的泄漏从而造成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该厂区内涉及的泵有：精硫泵、干燥塔酸循环泵、一吸塔酸循环泵、二吸塔酸循环泵、最终吸收塔酸循环泵、成品酸泵、焚硫炉给料泵、给水泵、脱氯盐水泵、硫酸循环泵、硫酸洗涤循环泵、氯磺酸成品泵、液氯输送泵、脱氯塔、稀酸循环泵、盐酸输送泵、高纯酸输送泵、碱泵、次氯酸钠泵、碱液泵、酸水洗涤循环泵、碱水洗涤循环泵、浓碱循环泵、热水循环水泵、排涝泵、事故循环泵、消防泵和其他各类泵等。泵所处区域地面均有硬化防渗措施，地面完整，无破损裂缝情况，设有围堰防护，高危区域设置溢流收集措施，布置预防事故的检测报警设施，并配有专业人员定期检查、保养和维护，有紧急事故处置方案。因此，目前厂区内各类泵在运行过程中对土壤和地下水环境造成污染的可能性很小。</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43" w:name="3.3.4 水坑或渗坑"/>
      <w:bookmarkEnd w:id="143"/>
      <w:bookmarkStart w:id="144" w:name="3.3.4 水坑或渗坑"/>
      <w:bookmarkEnd w:id="144"/>
      <w:bookmarkStart w:id="145" w:name="_Toc19346"/>
      <w:bookmarkStart w:id="146" w:name="_Toc2377"/>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.5水坑或渗坑</w:t>
      </w:r>
      <w:bookmarkEnd w:id="145"/>
      <w:bookmarkEnd w:id="146"/>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工业生产活动中如果存在无防渗设施的水坑或渗坑，极易产生</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污染。开放式的液体储存装置也容易造成撒落或渗漏导致</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污染，需定期开展巡检检查。</w:t>
      </w:r>
    </w:p>
    <w:p>
      <w:pPr>
        <w:spacing w:line="360" w:lineRule="auto"/>
        <w:ind w:firstLine="480" w:firstLineChars="200"/>
        <w:rPr>
          <w:rFonts w:hint="eastAsia" w:eastAsia="仿宋" w:cs="Times New Roman"/>
          <w:lang w:eastAsia="zh-CN"/>
        </w:rPr>
      </w:pPr>
      <w:r>
        <w:rPr>
          <w:rFonts w:hint="eastAsia" w:eastAsia="仿宋" w:cs="Times New Roman"/>
        </w:rPr>
        <w:t>厂区内设有污水收集池、污水处理池、事故应急池、循环水池、消防水收集池、雨水收集池和清下水泵池等，水池内部均做有防腐防渗措施，有围栏、围堰或遮盖物等安全防护措施，无撒落、溢流、泄露现象，内部路面均进行了水泥硬化，无裂纹和破损，同时由专业人员定期组织检查维护，并有应急事故处置管理</w:t>
      </w:r>
      <w:r>
        <w:rPr>
          <w:rFonts w:hint="eastAsia" w:eastAsia="仿宋" w:cs="Times New Roman"/>
          <w:lang w:eastAsia="zh-CN"/>
        </w:rPr>
        <w:t>。</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47" w:name="3.3.5 散装和包装材料的存储与运输"/>
      <w:bookmarkEnd w:id="147"/>
      <w:bookmarkStart w:id="148" w:name="3.3.5 散装和包装材料的存储与运输"/>
      <w:bookmarkEnd w:id="148"/>
      <w:bookmarkStart w:id="149" w:name="_Toc13359"/>
      <w:bookmarkStart w:id="150" w:name="_Toc1402"/>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.6散装和包装材料的存储与运输</w:t>
      </w:r>
      <w:bookmarkEnd w:id="149"/>
      <w:bookmarkEnd w:id="150"/>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bookmarkStart w:id="151" w:name="_Toc9901"/>
      <w:r>
        <w:rPr>
          <w:rFonts w:hint="default" w:ascii="Times New Roman" w:hAnsi="Times New Roman" w:eastAsia="仿宋_GB2312" w:cs="Times New Roman"/>
          <w:color w:val="auto"/>
          <w:kern w:val="2"/>
          <w:sz w:val="24"/>
          <w:szCs w:val="24"/>
          <w:lang w:val="en-US" w:eastAsia="zh-CN" w:bidi="ar-SA"/>
        </w:rPr>
        <w:t>1、固态物质（原辅材料）的存储与运输</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当包装受损时，包装的固体材料或粘性液体被释放并且长时间未采取措施，极易导致土壤污染。使用特殊包装时，需通过设计防渗下垫面、监测和维护管理措施来防止泄漏，否则容易造成土壤污染。</w:t>
      </w:r>
    </w:p>
    <w:p>
      <w:pPr>
        <w:spacing w:line="360" w:lineRule="auto"/>
        <w:ind w:firstLine="480" w:firstLineChars="200"/>
        <w:rPr>
          <w:rFonts w:eastAsia="仿宋" w:cs="Times New Roman"/>
        </w:rPr>
      </w:pPr>
      <w:r>
        <w:rPr>
          <w:rFonts w:hint="eastAsia" w:eastAsia="仿宋" w:cs="Times New Roman"/>
        </w:rPr>
        <w:t>该厂区内涉及散装固态物质存储和运输的是工业盐、硫磺、纯碱等原辅材料和盐泥、废离子膜、废树脂和废催化剂等工业固废。工业盐贮存在建有厂棚的堆场内，地面均硬化防渗，由船只运输至码头，通过皮带输送机卸至岸上的工业盐堆场，皮带运输送机上有防偏开关和紧急制动开关等安全保护开关。工业固废贮存在危废仓库内，采用汽车运输，存储地面均做有完整的硬化防渗防腐措施，能做到防风防雨水防渗漏防流失，且运输过程中有防护措施，无撒落现象，并配有专业人员定期检查、管理和维护。</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2、液体的存储与运输（圆桶、集装箱等）</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使用开放容器或采集无任何防渗措施对液体进行储存、转运时， 极易造成土壤污染。场内若有废弃液体容器堆放或容器清洗前后废液的排放时，极易造成土壤污染。</w:t>
      </w:r>
    </w:p>
    <w:p>
      <w:pPr>
        <w:spacing w:line="360" w:lineRule="auto"/>
        <w:ind w:firstLine="480" w:firstLineChars="200"/>
        <w:rPr>
          <w:rFonts w:hint="eastAsia" w:eastAsia="仿宋" w:cs="Times New Roman"/>
          <w:lang w:val="en-US" w:eastAsia="zh-CN"/>
        </w:rPr>
      </w:pPr>
      <w:r>
        <w:rPr>
          <w:rFonts w:hint="eastAsia" w:eastAsia="仿宋" w:cs="Times New Roman"/>
        </w:rPr>
        <w:t>厂区内涉及液体存储与运输的是硫酸、发烟硫酸、氯磺酸、亚硫酸钠、烧碱、液氯、次氯酸钠、盐酸、78%稀硫酸和废矿物油。硫酸、发烟硫酸、氯磺酸、亚硫酸钠、烧碱、次氯酸钠、盐酸和78%稀硫酸均储存在密封的储罐内，储罐按照行业要求设计，符合使用要求，这些存储区设置了检测报警设施、防腐防渗等设备安全防护设施、泄压和止逆及紧急处理设施。液体存储区地面均有完整的水泥硬化防渗措施，储罐区围堰设有导流沟、集水井，有截流阀和切换阀，泄漏时通过切换阀可排至事故应急池。存储液氯储罐和钢瓶的仓库区设有电动卷闸门、氯气检测报警仪启动联锁功能和事故尾气处理系统。厂区内液体产品和原材料由管道和槽车运输，废矿物油桶装收集后暂存在危废仓库内，委托有资质的危险废物处理公司运出进行处置，运输过程中有防护措施，未出现“跑、冒、滴、漏”的现象，且配有专业人员定期管理、监督、检查和维护，有环境风险防控和应急管理措施制度</w:t>
      </w:r>
      <w:r>
        <w:rPr>
          <w:rFonts w:hint="eastAsia" w:eastAsia="仿宋" w:cs="Times New Roman"/>
          <w:lang w:eastAsia="zh-CN"/>
        </w:rPr>
        <w:t>。</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52" w:name="_Toc418"/>
      <w:r>
        <w:rPr>
          <w:rFonts w:hint="eastAsia" w:ascii="Times New Roman" w:hAnsi="Times New Roman" w:eastAsia="仿宋_GB2312" w:cs="Times New Roman"/>
          <w:color w:val="auto"/>
          <w:kern w:val="2"/>
          <w:sz w:val="24"/>
          <w:szCs w:val="24"/>
          <w:lang w:val="en-US" w:eastAsia="zh-CN" w:bidi="ar-SA"/>
        </w:rPr>
        <w:t>3.</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.7固体及液态废物的存储与运输</w:t>
      </w:r>
      <w:bookmarkEnd w:id="151"/>
      <w:bookmarkEnd w:id="152"/>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1、一般工业固体废物储存与运输</w:t>
      </w:r>
    </w:p>
    <w:p>
      <w:pPr>
        <w:pStyle w:val="9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eastAsia="仿宋" w:cs="Times New Roman"/>
        </w:rPr>
      </w:pPr>
      <w:r>
        <w:rPr>
          <w:rFonts w:hint="default" w:ascii="Times New Roman" w:hAnsi="Times New Roman" w:eastAsia="仿宋_GB2312" w:cs="Times New Roman"/>
          <w:color w:val="auto"/>
          <w:kern w:val="2"/>
          <w:sz w:val="24"/>
          <w:szCs w:val="24"/>
          <w:lang w:val="en-US" w:eastAsia="zh-CN" w:bidi="ar-SA"/>
        </w:rPr>
        <w:t>一般工业固体废物</w:t>
      </w:r>
      <w:r>
        <w:rPr>
          <w:rFonts w:hint="eastAsia" w:ascii="Times New Roman" w:hAnsi="Times New Roman"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主要为第 II 类一般工业固体废物）大多含有易溶于水的物质，易通过淋溶污染</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，需通过构筑防渗层和渗滤液收集、处理设施来避免</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spacing w:line="360" w:lineRule="auto"/>
        <w:ind w:firstLine="480" w:firstLineChars="200"/>
        <w:rPr>
          <w:rFonts w:hint="eastAsia" w:eastAsia="仿宋" w:cs="Times New Roman"/>
        </w:rPr>
      </w:pPr>
      <w:r>
        <w:rPr>
          <w:rFonts w:hint="eastAsia" w:eastAsia="仿宋" w:cs="Times New Roman"/>
          <w:highlight w:val="none"/>
          <w:lang w:eastAsia="zh-CN"/>
        </w:rPr>
        <w:t>一般</w:t>
      </w:r>
      <w:r>
        <w:rPr>
          <w:rFonts w:hint="eastAsia" w:eastAsia="仿宋" w:cs="Times New Roman"/>
          <w:highlight w:val="none"/>
        </w:rPr>
        <w:t>工业固废储存于</w:t>
      </w:r>
      <w:r>
        <w:rPr>
          <w:rFonts w:hint="eastAsia" w:eastAsia="仿宋" w:cs="Times New Roman"/>
          <w:highlight w:val="none"/>
          <w:lang w:eastAsia="zh-CN"/>
        </w:rPr>
        <w:t>一般固废暂存间</w:t>
      </w:r>
      <w:r>
        <w:rPr>
          <w:rFonts w:hint="eastAsia" w:eastAsia="仿宋" w:cs="Times New Roman"/>
          <w:highlight w:val="none"/>
        </w:rPr>
        <w:t>，</w:t>
      </w:r>
      <w:r>
        <w:rPr>
          <w:rFonts w:hint="eastAsia" w:eastAsia="仿宋" w:cs="Times New Roman"/>
          <w:highlight w:val="none"/>
          <w:lang w:eastAsia="zh-CN"/>
        </w:rPr>
        <w:t>地面做有水泥硬化防渗措施，</w:t>
      </w:r>
      <w:r>
        <w:rPr>
          <w:rFonts w:hint="eastAsia" w:eastAsia="仿宋" w:cs="Times New Roman"/>
        </w:rPr>
        <w:t>能做到防雨水防渗漏防流失</w:t>
      </w:r>
      <w:r>
        <w:rPr>
          <w:rFonts w:hint="eastAsia" w:eastAsia="仿宋" w:cs="Times New Roman"/>
          <w:lang w:eastAsia="zh-CN"/>
        </w:rPr>
        <w:t>，</w:t>
      </w:r>
      <w:r>
        <w:rPr>
          <w:rFonts w:hint="eastAsia" w:eastAsia="仿宋" w:cs="Times New Roman"/>
        </w:rPr>
        <w:t>采用汽车运输至厂区</w:t>
      </w:r>
      <w:r>
        <w:rPr>
          <w:rFonts w:hint="eastAsia" w:eastAsia="仿宋" w:cs="Times New Roman"/>
          <w:lang w:eastAsia="zh-CN"/>
        </w:rPr>
        <w:t>外，厂区内均使用</w:t>
      </w:r>
      <w:r>
        <w:rPr>
          <w:rFonts w:hint="eastAsia" w:eastAsia="仿宋" w:cs="Times New Roman"/>
        </w:rPr>
        <w:t>叉车运输，运输过程中有防护措施，并有厂内人员管理和维护</w:t>
      </w:r>
      <w:r>
        <w:rPr>
          <w:rFonts w:hint="eastAsia" w:eastAsia="仿宋" w:cs="Times New Roman"/>
          <w:lang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2、危险废物存储与运输设施</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在危险废物贮存过程中，可能由于危险废物的包装破损、腐蚀等因素，造成危险废物的泄漏；或在危险废物库内的搬运、转移等作业过程中，由于操作不当致使包装物破损或其他原因导致的危险废物泄漏、散落，液体废物外泄。在危险废物出入库的装卸及运输过程中，也可能由于操作不当致使固态危险废物散落或飞扬、液态危险废物外泄。</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针对固态危险废物的散落及泄漏的污染防治，主要包括在危险废物贮存库和周围地面的建设上所采用的危险废物扩散阻隔技术，如设置围堰、裙脚、隔断，库区地面进行严格防渗处理，输送通道特殊材料防护等；同时强化对危险废物包装容器材质、机械强度、形状、尺寸等的技术要求。针对液态危险废物泄漏的污染防治，主要是在贮存区设置防渗漏收集槽、池或设置防渗围堰。露天场地在覆盖的四周建设防渗的排水沟，收集可能排出的液体废物。对于液体危险废物小包装容器和集中存放液体废物的大型容器均有严格的技术要求。</w:t>
      </w:r>
    </w:p>
    <w:p>
      <w:pPr>
        <w:pStyle w:val="97"/>
        <w:adjustRightInd/>
        <w:spacing w:line="360" w:lineRule="auto"/>
        <w:ind w:firstLine="480" w:firstLineChars="200"/>
        <w:jc w:val="both"/>
        <w:rPr>
          <w:rFonts w:hint="eastAsia" w:eastAsia="仿宋" w:cs="Times New Roman"/>
        </w:rPr>
      </w:pPr>
      <w:r>
        <w:rPr>
          <w:rFonts w:hint="default" w:ascii="Times New Roman" w:hAnsi="Times New Roman" w:eastAsia="仿宋"/>
          <w:bCs/>
        </w:rPr>
        <w:t>公司危险废物中的78%硫酸，采用储罐储存，设置环境保护图形标志和警示标志；需要委外处置的危险废物贮存在危废暂存仓库，并清楚标明废物类别、数量、危险特性等，定期委托有资质的单位处理</w:t>
      </w:r>
      <w:r>
        <w:rPr>
          <w:rFonts w:hint="eastAsia" w:eastAsia="仿宋" w:cs="Times New Roman"/>
          <w:lang w:eastAsia="zh-CN"/>
        </w:rPr>
        <w:t>，</w:t>
      </w:r>
      <w:r>
        <w:rPr>
          <w:rFonts w:hint="eastAsia" w:ascii="Times New Roman" w:hAnsi="Times New Roman" w:eastAsia="仿宋_GB2312" w:cs="Times New Roman"/>
          <w:color w:val="auto"/>
          <w:kern w:val="2"/>
          <w:sz w:val="24"/>
          <w:szCs w:val="24"/>
          <w:lang w:val="en-US" w:eastAsia="zh-CN" w:bidi="ar-SA"/>
        </w:rPr>
        <w:t>本公司危险废物暂存间</w:t>
      </w:r>
      <w:r>
        <w:rPr>
          <w:rFonts w:hint="eastAsia" w:eastAsia="仿宋" w:cs="Times New Roman"/>
          <w:highlight w:val="none"/>
          <w:lang w:eastAsia="zh-CN"/>
        </w:rPr>
        <w:t>地面做有水泥硬化防渗措施，</w:t>
      </w:r>
      <w:r>
        <w:rPr>
          <w:rFonts w:hint="eastAsia" w:eastAsia="仿宋" w:cs="Times New Roman"/>
        </w:rPr>
        <w:t>能做到防雨水防渗漏防流失</w:t>
      </w:r>
      <w:r>
        <w:rPr>
          <w:rFonts w:hint="eastAsia" w:eastAsia="仿宋" w:cs="Times New Roman"/>
          <w:lang w:eastAsia="zh-CN"/>
        </w:rPr>
        <w:t>，</w:t>
      </w:r>
      <w:r>
        <w:rPr>
          <w:rFonts w:hint="eastAsia" w:eastAsia="仿宋" w:cs="Times New Roman"/>
        </w:rPr>
        <w:t>采用汽车运输至厂区</w:t>
      </w:r>
      <w:r>
        <w:rPr>
          <w:rFonts w:hint="eastAsia" w:eastAsia="仿宋" w:cs="Times New Roman"/>
          <w:lang w:eastAsia="zh-CN"/>
        </w:rPr>
        <w:t>外，厂区内均使用</w:t>
      </w:r>
      <w:r>
        <w:rPr>
          <w:rFonts w:hint="eastAsia" w:eastAsia="仿宋" w:cs="Times New Roman"/>
        </w:rPr>
        <w:t>叉车运输，运输过程中有防护措施，并有厂内人员管理和维护</w:t>
      </w:r>
      <w:r>
        <w:rPr>
          <w:rFonts w:hint="eastAsia" w:eastAsia="仿宋" w:cs="Times New Roman"/>
          <w:lang w:eastAsia="zh-CN"/>
        </w:rPr>
        <w:t>。</w:t>
      </w:r>
    </w:p>
    <w:p>
      <w:pPr>
        <w:pStyle w:val="6"/>
        <w:autoSpaceDE/>
        <w:autoSpaceDN/>
        <w:spacing w:before="65" w:beforeLines="20" w:after="65" w:afterLines="20" w:line="360" w:lineRule="auto"/>
        <w:ind w:left="0" w:right="0"/>
        <w:jc w:val="left"/>
        <w:rPr>
          <w:rFonts w:hint="eastAsia" w:eastAsia="仿宋_GB2312" w:cs="Times New Roman"/>
          <w:color w:val="auto"/>
          <w:kern w:val="2"/>
          <w:sz w:val="24"/>
          <w:szCs w:val="24"/>
          <w:lang w:val="en-US" w:eastAsia="zh-CN" w:bidi="ar-SA"/>
        </w:rPr>
      </w:pPr>
      <w:bookmarkStart w:id="153" w:name="3.3.7 其它活动"/>
      <w:bookmarkEnd w:id="153"/>
      <w:bookmarkStart w:id="154" w:name="3.3.7 其它活动"/>
      <w:bookmarkEnd w:id="154"/>
      <w:bookmarkStart w:id="155" w:name="_Toc7770"/>
      <w:bookmarkStart w:id="156" w:name="_Toc15282"/>
      <w:r>
        <w:rPr>
          <w:rFonts w:hint="eastAsia" w:eastAsia="仿宋_GB2312" w:cs="Times New Roman"/>
          <w:color w:val="auto"/>
          <w:kern w:val="2"/>
          <w:sz w:val="24"/>
          <w:szCs w:val="24"/>
          <w:lang w:val="en-US" w:eastAsia="zh-CN" w:bidi="ar-SA"/>
        </w:rPr>
        <w:t>3.1.8生产活动</w:t>
      </w:r>
      <w:bookmarkEnd w:id="155"/>
    </w:p>
    <w:p>
      <w:pPr>
        <w:spacing w:line="360" w:lineRule="auto"/>
        <w:ind w:firstLine="480" w:firstLineChars="200"/>
        <w:rPr>
          <w:rFonts w:hint="eastAsia" w:eastAsia="仿宋" w:cs="Times New Roman"/>
        </w:rPr>
      </w:pPr>
      <w:r>
        <w:rPr>
          <w:rFonts w:hint="eastAsia" w:eastAsia="仿宋" w:cs="Times New Roman"/>
        </w:rPr>
        <w:t>生产过程风险防范措施是安全生产的重要环节，许多生产事故都是由于生产过程的不完善、故障、隐患等不安全因素所造成，因此必须对生产设备的安全性状给予高度重视。标准设备要选择符合工艺要求、质量好的设备。生产和使用过程中，要对可能使粉尘外散点进行经常性的检查、维护和控制。</w:t>
      </w:r>
    </w:p>
    <w:p>
      <w:pPr>
        <w:spacing w:line="360" w:lineRule="auto"/>
        <w:ind w:firstLine="480" w:firstLineChars="200"/>
        <w:rPr>
          <w:rFonts w:eastAsia="仿宋" w:cs="Times New Roman"/>
        </w:rPr>
      </w:pPr>
      <w:r>
        <w:rPr>
          <w:rFonts w:hint="eastAsia" w:eastAsia="仿宋" w:cs="Times New Roman"/>
        </w:rPr>
        <w:t>厂区内生产加工装置为密闭的处理装置，生产装置工艺控制要求严格，自动化水平较高，控制点均接进中控室的DCS系统，进行集中指示和控制，并设计紧急停车控制系统。实现了密闭化、管道化，防止有毒物质、腐蚀物质泄漏外逸。对生产中可能突然逸出大量有害物质或易造成急性中毒或易燃易爆的化学物质的作业场所，安装自动报警装置、事故通风设施、生产装置设置连锁和紧急停车系统，并独立于控制系统，氯碱车间设置火灾自动报警系统。生产装置区地面均硬化防渗，部分装置区设有防雨设施，生产场所设置了泄漏液体缓冲池，配备了泄漏堵漏工具、收集等应急设施及物资，并按规定放在适当的位置，并作明显的标识，未发现“跑、冒、滴、漏”的情形，同时有专业人员定期对各类设备设施及其运行情况进行检查、监督、管理、维修和保养，并有风险防控和紧急事故应急管理措施，目前对土壤及地下水环境污染的可能性较小。</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57" w:name="_Toc10282"/>
      <w:r>
        <w:rPr>
          <w:rFonts w:hint="eastAsia" w:ascii="Times New Roman" w:hAnsi="Times New Roman" w:eastAsia="仿宋_GB2312" w:cs="Times New Roman"/>
          <w:color w:val="auto"/>
          <w:kern w:val="2"/>
          <w:sz w:val="24"/>
          <w:szCs w:val="24"/>
          <w:lang w:val="en-US" w:eastAsia="zh-CN" w:bidi="ar-SA"/>
        </w:rPr>
        <w:t>3.3.</w:t>
      </w:r>
      <w:r>
        <w:rPr>
          <w:rFonts w:hint="eastAsia" w:eastAsia="仿宋_GB2312" w:cs="Times New Roman"/>
          <w:color w:val="auto"/>
          <w:kern w:val="2"/>
          <w:sz w:val="24"/>
          <w:szCs w:val="24"/>
          <w:lang w:val="en-US" w:eastAsia="zh-CN" w:bidi="ar-SA"/>
        </w:rPr>
        <w:t>9</w:t>
      </w:r>
      <w:r>
        <w:rPr>
          <w:rFonts w:hint="eastAsia" w:ascii="Times New Roman" w:hAnsi="Times New Roman" w:eastAsia="仿宋_GB2312" w:cs="Times New Roman"/>
          <w:color w:val="auto"/>
          <w:kern w:val="2"/>
          <w:sz w:val="24"/>
          <w:szCs w:val="24"/>
          <w:lang w:val="en-US" w:eastAsia="zh-CN" w:bidi="ar-SA"/>
        </w:rPr>
        <w:t>其它活动</w:t>
      </w:r>
      <w:bookmarkEnd w:id="156"/>
      <w:bookmarkEnd w:id="157"/>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1、污水处理与排放</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污水设备破坏、收集池及收集管道堵塞、收集管道破裂等，即污水未经处理直接排放，造成未经处理的生产废水外排，都可能造成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公司若存在地下水道，且维护和检测不及时，容易造成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污染。若地下下水道、污水收集等材料和运行维护不符合要求，容易造成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废水处理被认为是管道和下水道的集合，任何非规范性的设计、材料、设施和操作管理，都可能造成</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spacing w:line="360" w:lineRule="auto"/>
        <w:ind w:firstLine="480" w:firstLineChars="200"/>
        <w:rPr>
          <w:rFonts w:eastAsia="仿宋" w:cs="Times New Roman"/>
        </w:rPr>
      </w:pPr>
      <w:r>
        <w:rPr>
          <w:rFonts w:hint="eastAsia" w:eastAsia="仿宋" w:cs="Times New Roman"/>
        </w:rPr>
        <w:t>经排查，厂区内已经按照清污分流的原则，铺设了污水管网和雨水管网，生产废水、生活污水与初期雨水均设立了废水收集系统，实现了雨污分流。</w:t>
      </w:r>
    </w:p>
    <w:p>
      <w:pPr>
        <w:spacing w:line="360" w:lineRule="auto"/>
        <w:ind w:firstLine="480" w:firstLineChars="200"/>
        <w:rPr>
          <w:rFonts w:eastAsia="仿宋" w:cs="Times New Roman"/>
        </w:rPr>
      </w:pPr>
      <w:r>
        <w:rPr>
          <w:rFonts w:hint="eastAsia" w:eastAsia="仿宋" w:cs="Times New Roman"/>
        </w:rPr>
        <w:t>企业产生的废水采取中和沉淀对其进行预处理后，经管道、泵送排入张家港保税区胜科水务有限公司处理。生产清下水主要是循环冷却排水和锅炉排污水，其水质可以满足化工园区清下水标准，直接排入园区的清下水管网。生活污水经化粪池处理后，与生产废水一起接入保税区污水处理厂。在排口设置上设一个雨水排口，一个污水排放口，同时对车间废水收集池、污水管线、初期雨水收集池及排口等均按规范要求设置了标志牌，雨水和污水接管口分别设置了截流阀，排放口切断装置均设有自动控制系统，且已纳入全厂自动化控制系统，实现厂区控制室内的集中控制，且厂内雨水池、污水排放井都安装了水质在线监控装置。防渗及其他防护措施齐全，现场无“跑、冒、滴、漏”现象，配有专业人员定期检查维护与监管，并有紧急事故处置管理方案，目前对土壤及地下水环境污染风险可能性比较小。</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2、紧急收集装置</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紧急收集包括地下和地上收集装置，在紧急情况下使用。紧急收集装置需要防腐蚀和防渗漏，否则在收集装置充满时容易造成溢流导致</w:t>
      </w: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w:t>
      </w:r>
    </w:p>
    <w:p>
      <w:pPr>
        <w:spacing w:line="360" w:lineRule="auto"/>
        <w:ind w:firstLine="480" w:firstLineChars="200"/>
        <w:rPr>
          <w:rFonts w:eastAsia="仿宋" w:cs="Times New Roman"/>
        </w:rPr>
      </w:pPr>
      <w:r>
        <w:rPr>
          <w:rFonts w:hint="eastAsia" w:eastAsia="仿宋" w:cs="Times New Roman"/>
        </w:rPr>
        <w:t>厂区内设有事故应急池，废水缓冲池、氯气应急碱性吸收池和消防水池，配置完善的管道系统，管道完好无破裂，设有防渗、防腐和检测报警设施，未出现“跑、冒、滴、漏”的情况，指定专业人员定期监管、检查、防护和保养，并有紧急事故管理方案。目前对土壤及地下水环境污染风险可能性很小</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3、车间存储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 w:cs="Times New Roman"/>
          <w:lang w:eastAsia="zh-CN"/>
        </w:rPr>
      </w:pPr>
      <w:bookmarkStart w:id="158" w:name="_bookmark14"/>
      <w:bookmarkEnd w:id="158"/>
      <w:bookmarkStart w:id="159" w:name="3.2 物质风险识别"/>
      <w:bookmarkEnd w:id="159"/>
      <w:bookmarkStart w:id="160" w:name="_Toc9462"/>
      <w:r>
        <w:rPr>
          <w:rFonts w:hint="eastAsia" w:eastAsia="仿宋" w:cs="Times New Roman"/>
          <w:lang w:eastAsia="zh-CN"/>
        </w:rPr>
        <w:t>车间内储存包括各种储罐，如果储罐区域和设备没有防护措施，容易造成土壤及地下水污染。</w:t>
      </w:r>
      <w:r>
        <w:rPr>
          <w:rFonts w:hint="eastAsia" w:eastAsia="仿宋" w:cs="Times New Roman"/>
        </w:rPr>
        <w:t>厂区车间内储罐密闭性良好，配置完善的管道系统、检测报警设施、设备安全防护设施和风险防控措施，围堰地面做硬化处理，围堰内设有导流沟，有截流阀和切换阀，泄漏时通过切换阀可排至事故应急池，未出现“跑、冒、滴、漏”的情况，并配有专业人员定期检查、维护和管理</w:t>
      </w:r>
      <w:r>
        <w:rPr>
          <w:rFonts w:hint="eastAsia" w:eastAsia="仿宋" w:cs="Times New Roman"/>
          <w:lang w:eastAsia="zh-CN"/>
        </w:rPr>
        <w:t>。</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61" w:name="_Toc23869"/>
      <w:r>
        <w:rPr>
          <w:rFonts w:hint="eastAsia" w:ascii="Times New Roman" w:hAnsi="Times New Roman" w:eastAsia="黑体" w:cs="Times New Roman"/>
          <w:color w:val="auto"/>
          <w:kern w:val="2"/>
          <w:sz w:val="28"/>
          <w:szCs w:val="28"/>
          <w:lang w:val="en-US" w:eastAsia="zh-CN" w:bidi="ar-SA"/>
        </w:rPr>
        <w:t>3.2物质风险识别</w:t>
      </w:r>
      <w:bookmarkEnd w:id="160"/>
      <w:bookmarkEnd w:id="161"/>
    </w:p>
    <w:p>
      <w:pPr>
        <w:spacing w:line="360" w:lineRule="auto"/>
        <w:ind w:firstLine="480" w:firstLineChars="200"/>
        <w:rPr>
          <w:rFonts w:eastAsia="仿宋" w:cs="Times New Roman"/>
        </w:rPr>
      </w:pPr>
      <w:r>
        <w:rPr>
          <w:rFonts w:hint="default" w:ascii="Times New Roman" w:hAnsi="Times New Roman" w:eastAsia="仿宋_GB2312" w:cs="Times New Roman"/>
          <w:color w:val="auto"/>
          <w:kern w:val="2"/>
          <w:sz w:val="24"/>
          <w:szCs w:val="24"/>
          <w:lang w:val="en-US" w:eastAsia="zh-CN" w:bidi="ar-SA"/>
        </w:rPr>
        <w:t>根据我公司的相关产品、原辅材料、生产工艺、三废排放等基本信息，大致判断出该地块涉及到的污染物主要为</w:t>
      </w:r>
      <w:r>
        <w:rPr>
          <w:rFonts w:hint="eastAsia" w:eastAsia="仿宋" w:cs="Times New Roman"/>
        </w:rPr>
        <w:t>盐酸、氢氧化钠、硫酸、氯磺酸、液硫、二氧化硫、三氧化硫、次氯酸钠、液氯、工业盐、硫磺、纯碱、钒触媒等无机酸碱盐的生产与使用，厂区内液体材料主要储存在密闭的储罐中，采用管道运输，气体材料贮存在装置管道中，存储和运输设有检测报警、设备安全防护、事故控制设施及环境安全管理制度，未涉及矿物和矿石及农产品的投入和输出。公司产生的危险废物主要为废矿物油、废树脂及少量废催化剂，均贮存在危废暂存仓库内，规范放置，有防渗防腐防雨防风设施，应急管理基本齐全。生产废水、生活污水预处理后，经管道、泵送排入张家港保税区胜科水务有限公司处理，生产清下水直接排入园区的清下水管网，雨、污水接管口分别设置了截流阀，排放口切断装置均设有自动控制系统，且厂内雨水池、污水排放井都安装了水质在线监控装置，防渗及其他防护措施齐全。综上所述，公司厂区虽涉及大量液体材料，但设备设施规范，环境风险防控与应急装置齐全，只要规范作业、定期巡检、加强设备维护，对土壤污染的风险可控。主要隐患为停止使用的硫磺堆场在固态硫磺使用期间西侧堆存地面仅砂石简单防渗，且堆场内未设置防风防雨设施，在极端情况下（大风、大雨、暴晒等），固体硫磺可能会随风扩散或随雨水冲刷而流失渗漏至地表以下，对堆场内地面和周边土壤及地下水环境造成一定的潜在污染风险。</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62" w:name="3.3 事故类型、可能危害及向环境转移途径"/>
      <w:bookmarkEnd w:id="162"/>
      <w:bookmarkStart w:id="163" w:name="_bookmark15"/>
      <w:bookmarkEnd w:id="163"/>
      <w:bookmarkStart w:id="164" w:name="_Toc31137"/>
      <w:bookmarkStart w:id="165" w:name="_Toc12078"/>
      <w:r>
        <w:rPr>
          <w:rFonts w:hint="eastAsia" w:ascii="Times New Roman" w:hAnsi="Times New Roman" w:eastAsia="黑体" w:cs="Times New Roman"/>
          <w:color w:val="auto"/>
          <w:kern w:val="2"/>
          <w:sz w:val="28"/>
          <w:szCs w:val="28"/>
          <w:lang w:val="en-US" w:eastAsia="zh-CN" w:bidi="ar-SA"/>
        </w:rPr>
        <w:t>3.3事故类型、可能危害及向环境转移途径</w:t>
      </w:r>
      <w:bookmarkEnd w:id="164"/>
      <w:bookmarkEnd w:id="165"/>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土壤及地下水</w:t>
      </w:r>
      <w:r>
        <w:rPr>
          <w:rFonts w:hint="default" w:ascii="Times New Roman" w:hAnsi="Times New Roman" w:eastAsia="仿宋_GB2312" w:cs="Times New Roman"/>
          <w:color w:val="auto"/>
          <w:kern w:val="2"/>
          <w:sz w:val="24"/>
          <w:szCs w:val="24"/>
          <w:lang w:val="en-US" w:eastAsia="zh-CN" w:bidi="ar-SA"/>
        </w:rPr>
        <w:t>污染物转移途径和危害形式列于表 3-</w:t>
      </w:r>
      <w:r>
        <w:rPr>
          <w:rFonts w:hint="eastAsia" w:eastAsia="仿宋_GB2312" w:cs="Times New Roman"/>
          <w:color w:val="auto"/>
          <w:kern w:val="2"/>
          <w:sz w:val="24"/>
          <w:szCs w:val="24"/>
          <w:lang w:val="en-US" w:eastAsia="zh-CN" w:bidi="ar-SA"/>
        </w:rPr>
        <w:t>2</w:t>
      </w:r>
      <w:r>
        <w:rPr>
          <w:rFonts w:hint="default" w:ascii="Times New Roman" w:hAnsi="Times New Roman" w:eastAsia="仿宋_GB2312"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bookmarkStart w:id="166" w:name="表3-2  事故污染物转移途径及危害形式"/>
      <w:bookmarkEnd w:id="16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bCs/>
          <w:color w:val="auto"/>
          <w:kern w:val="2"/>
          <w:sz w:val="21"/>
          <w:szCs w:val="21"/>
          <w:lang w:val="en-US" w:eastAsia="zh-CN" w:bidi="ar-SA"/>
        </w:rPr>
      </w:pPr>
      <w:r>
        <w:rPr>
          <w:rFonts w:hint="eastAsia" w:ascii="Times New Roman" w:hAnsi="Times New Roman" w:eastAsia="黑体" w:cs="Times New Roman"/>
          <w:b/>
          <w:bCs/>
          <w:color w:val="auto"/>
          <w:kern w:val="2"/>
          <w:sz w:val="21"/>
          <w:szCs w:val="21"/>
          <w:lang w:val="en-US" w:eastAsia="zh-CN" w:bidi="ar-SA"/>
        </w:rPr>
        <w:t>表 3-</w:t>
      </w:r>
      <w:r>
        <w:rPr>
          <w:rFonts w:hint="eastAsia" w:eastAsia="黑体" w:cs="Times New Roman"/>
          <w:b/>
          <w:bCs/>
          <w:color w:val="auto"/>
          <w:kern w:val="2"/>
          <w:sz w:val="21"/>
          <w:szCs w:val="21"/>
          <w:lang w:val="en-US" w:eastAsia="zh-CN" w:bidi="ar-SA"/>
        </w:rPr>
        <w:t>2</w:t>
      </w:r>
      <w:r>
        <w:rPr>
          <w:rFonts w:hint="eastAsia" w:ascii="Times New Roman" w:hAnsi="Times New Roman" w:eastAsia="黑体" w:cs="Times New Roman"/>
          <w:b/>
          <w:bCs/>
          <w:color w:val="auto"/>
          <w:kern w:val="2"/>
          <w:sz w:val="21"/>
          <w:szCs w:val="21"/>
          <w:lang w:val="en-US" w:eastAsia="zh-CN" w:bidi="ar-SA"/>
        </w:rPr>
        <w:tab/>
      </w:r>
      <w:r>
        <w:rPr>
          <w:rFonts w:hint="eastAsia" w:ascii="Times New Roman" w:hAnsi="Times New Roman" w:eastAsia="黑体" w:cs="Times New Roman"/>
          <w:b/>
          <w:bCs/>
          <w:color w:val="auto"/>
          <w:kern w:val="2"/>
          <w:sz w:val="21"/>
          <w:szCs w:val="21"/>
          <w:lang w:val="en-US" w:eastAsia="zh-CN" w:bidi="ar-SA"/>
        </w:rPr>
        <w:t>事故污染物转移途径及危害形式</w:t>
      </w:r>
    </w:p>
    <w:tbl>
      <w:tblPr>
        <w:tblStyle w:val="3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7"/>
        <w:gridCol w:w="2333"/>
        <w:gridCol w:w="1457"/>
        <w:gridCol w:w="1433"/>
        <w:gridCol w:w="1572"/>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blHeader/>
        </w:trPr>
        <w:tc>
          <w:tcPr>
            <w:tcW w:w="356" w:type="pct"/>
            <w:vMerge w:val="restart"/>
          </w:tcPr>
          <w:p>
            <w:pPr>
              <w:pStyle w:val="204"/>
              <w:spacing w:before="7"/>
              <w:jc w:val="left"/>
              <w:rPr>
                <w:rFonts w:hint="default" w:ascii="Times New Roman" w:hAnsi="Times New Roman" w:eastAsia="仿宋" w:cs="Times New Roman"/>
                <w:sz w:val="21"/>
                <w:szCs w:val="21"/>
              </w:rPr>
            </w:pPr>
          </w:p>
          <w:p>
            <w:pPr>
              <w:pStyle w:val="204"/>
              <w:spacing w:before="0" w:line="244" w:lineRule="auto"/>
              <w:ind w:left="86" w:right="74"/>
              <w:jc w:val="left"/>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事故类别</w:t>
            </w:r>
          </w:p>
        </w:tc>
        <w:tc>
          <w:tcPr>
            <w:tcW w:w="1284" w:type="pct"/>
            <w:vMerge w:val="restart"/>
          </w:tcPr>
          <w:p>
            <w:pPr>
              <w:pStyle w:val="204"/>
              <w:spacing w:before="3"/>
              <w:jc w:val="left"/>
              <w:rPr>
                <w:rFonts w:hint="default" w:ascii="Times New Roman" w:hAnsi="Times New Roman" w:eastAsia="仿宋" w:cs="Times New Roman"/>
                <w:sz w:val="21"/>
                <w:szCs w:val="21"/>
              </w:rPr>
            </w:pPr>
          </w:p>
          <w:p>
            <w:pPr>
              <w:pStyle w:val="204"/>
              <w:spacing w:before="0"/>
              <w:ind w:left="647"/>
              <w:jc w:val="left"/>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事故位置</w:t>
            </w:r>
          </w:p>
        </w:tc>
        <w:tc>
          <w:tcPr>
            <w:tcW w:w="802" w:type="pct"/>
            <w:vMerge w:val="restart"/>
          </w:tcPr>
          <w:p>
            <w:pPr>
              <w:pStyle w:val="204"/>
              <w:spacing w:before="3"/>
              <w:jc w:val="left"/>
              <w:rPr>
                <w:rFonts w:hint="default" w:ascii="Times New Roman" w:hAnsi="Times New Roman" w:eastAsia="仿宋" w:cs="Times New Roman"/>
                <w:sz w:val="21"/>
                <w:szCs w:val="21"/>
              </w:rPr>
            </w:pPr>
          </w:p>
          <w:p>
            <w:pPr>
              <w:pStyle w:val="204"/>
              <w:spacing w:before="0"/>
              <w:ind w:left="37"/>
              <w:jc w:val="left"/>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事故危害类型</w:t>
            </w:r>
          </w:p>
        </w:tc>
        <w:tc>
          <w:tcPr>
            <w:tcW w:w="1654" w:type="pct"/>
            <w:gridSpan w:val="2"/>
          </w:tcPr>
          <w:p>
            <w:pPr>
              <w:pStyle w:val="204"/>
              <w:ind w:left="429"/>
              <w:jc w:val="left"/>
              <w:rPr>
                <w:rFonts w:hint="default" w:ascii="Times New Roman" w:hAnsi="Times New Roman" w:eastAsia="仿宋" w:cs="Times New Roman"/>
                <w:b/>
                <w:sz w:val="21"/>
                <w:szCs w:val="21"/>
              </w:rPr>
            </w:pPr>
            <w:r>
              <w:rPr>
                <w:rFonts w:hint="eastAsia" w:ascii="Times New Roman" w:hAnsi="Times New Roman" w:eastAsia="仿宋" w:cs="Times New Roman"/>
                <w:b/>
                <w:sz w:val="21"/>
                <w:szCs w:val="21"/>
                <w:lang w:eastAsia="zh-CN"/>
              </w:rPr>
              <w:t>土壤及地下水</w:t>
            </w:r>
            <w:r>
              <w:rPr>
                <w:rFonts w:hint="default" w:ascii="Times New Roman" w:hAnsi="Times New Roman" w:eastAsia="仿宋" w:cs="Times New Roman"/>
                <w:b/>
                <w:sz w:val="21"/>
                <w:szCs w:val="21"/>
              </w:rPr>
              <w:t>污染物转移途径</w:t>
            </w:r>
          </w:p>
        </w:tc>
        <w:tc>
          <w:tcPr>
            <w:tcW w:w="901" w:type="pct"/>
            <w:vMerge w:val="restart"/>
          </w:tcPr>
          <w:p>
            <w:pPr>
              <w:pStyle w:val="204"/>
              <w:spacing w:before="3"/>
              <w:jc w:val="left"/>
              <w:rPr>
                <w:rFonts w:hint="default" w:ascii="Times New Roman" w:hAnsi="Times New Roman" w:eastAsia="仿宋" w:cs="Times New Roman"/>
                <w:sz w:val="21"/>
                <w:szCs w:val="21"/>
              </w:rPr>
            </w:pPr>
          </w:p>
          <w:p>
            <w:pPr>
              <w:pStyle w:val="204"/>
              <w:spacing w:before="0"/>
              <w:ind w:left="119"/>
              <w:jc w:val="center"/>
              <w:rPr>
                <w:rFonts w:hint="default" w:ascii="Times New Roman" w:hAnsi="Times New Roman" w:eastAsia="仿宋" w:cs="Times New Roman"/>
                <w:b/>
                <w:sz w:val="21"/>
                <w:szCs w:val="21"/>
              </w:rPr>
            </w:pPr>
            <w:r>
              <w:rPr>
                <w:rFonts w:hint="eastAsia" w:ascii="Times New Roman" w:hAnsi="Times New Roman" w:eastAsia="仿宋" w:cs="Times New Roman"/>
                <w:b/>
                <w:sz w:val="21"/>
                <w:szCs w:val="21"/>
                <w:lang w:eastAsia="zh-CN"/>
              </w:rPr>
              <w:t>土壤及地下水</w:t>
            </w:r>
            <w:r>
              <w:rPr>
                <w:rFonts w:hint="default" w:ascii="Times New Roman" w:hAnsi="Times New Roman" w:eastAsia="仿宋" w:cs="Times New Roman"/>
                <w:b/>
                <w:sz w:val="21"/>
                <w:szCs w:val="21"/>
              </w:rPr>
              <w:t>危害形式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blHeader/>
        </w:trPr>
        <w:tc>
          <w:tcPr>
            <w:tcW w:w="356" w:type="pct"/>
            <w:vMerge w:val="continue"/>
            <w:tcBorders>
              <w:top w:val="nil"/>
            </w:tcBorders>
          </w:tcPr>
          <w:p>
            <w:pPr>
              <w:rPr>
                <w:rFonts w:hint="default" w:ascii="Times New Roman" w:hAnsi="Times New Roman" w:eastAsia="仿宋" w:cs="Times New Roman"/>
                <w:sz w:val="21"/>
                <w:szCs w:val="21"/>
              </w:rPr>
            </w:pPr>
          </w:p>
        </w:tc>
        <w:tc>
          <w:tcPr>
            <w:tcW w:w="1284" w:type="pct"/>
            <w:vMerge w:val="continue"/>
            <w:tcBorders>
              <w:top w:val="nil"/>
            </w:tcBorders>
          </w:tcPr>
          <w:p>
            <w:pPr>
              <w:rPr>
                <w:rFonts w:hint="default" w:ascii="Times New Roman" w:hAnsi="Times New Roman" w:eastAsia="仿宋" w:cs="Times New Roman"/>
                <w:sz w:val="21"/>
                <w:szCs w:val="21"/>
              </w:rPr>
            </w:pPr>
          </w:p>
        </w:tc>
        <w:tc>
          <w:tcPr>
            <w:tcW w:w="802" w:type="pct"/>
            <w:vMerge w:val="continue"/>
            <w:tcBorders>
              <w:top w:val="nil"/>
            </w:tcBorders>
          </w:tcPr>
          <w:p>
            <w:pPr>
              <w:rPr>
                <w:rFonts w:hint="default" w:ascii="Times New Roman" w:hAnsi="Times New Roman" w:eastAsia="仿宋" w:cs="Times New Roman"/>
                <w:sz w:val="21"/>
                <w:szCs w:val="21"/>
              </w:rPr>
            </w:pPr>
          </w:p>
        </w:tc>
        <w:tc>
          <w:tcPr>
            <w:tcW w:w="789" w:type="pct"/>
          </w:tcPr>
          <w:p>
            <w:pPr>
              <w:pStyle w:val="204"/>
              <w:spacing w:before="92"/>
              <w:ind w:left="111" w:right="101"/>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排水系统</w:t>
            </w:r>
          </w:p>
        </w:tc>
        <w:tc>
          <w:tcPr>
            <w:tcW w:w="864" w:type="pct"/>
          </w:tcPr>
          <w:p>
            <w:pPr>
              <w:pStyle w:val="204"/>
              <w:spacing w:before="92"/>
              <w:ind w:left="171" w:right="164"/>
              <w:rPr>
                <w:rFonts w:hint="eastAsia" w:ascii="Times New Roman" w:hAnsi="Times New Roman" w:eastAsia="仿宋" w:cs="Times New Roman"/>
                <w:b/>
                <w:sz w:val="21"/>
                <w:szCs w:val="21"/>
                <w:lang w:eastAsia="zh-CN"/>
              </w:rPr>
            </w:pPr>
            <w:r>
              <w:rPr>
                <w:rFonts w:hint="eastAsia" w:ascii="Times New Roman" w:hAnsi="Times New Roman" w:eastAsia="仿宋" w:cs="Times New Roman"/>
                <w:b/>
                <w:sz w:val="21"/>
                <w:szCs w:val="21"/>
                <w:lang w:eastAsia="zh-CN"/>
              </w:rPr>
              <w:t>土壤及地下水</w:t>
            </w:r>
          </w:p>
        </w:tc>
        <w:tc>
          <w:tcPr>
            <w:tcW w:w="901" w:type="pct"/>
            <w:vMerge w:val="continue"/>
            <w:tcBorders>
              <w:top w:val="nil"/>
            </w:tcBorders>
          </w:tcPr>
          <w:p>
            <w:pPr>
              <w:rPr>
                <w:rFonts w:hint="default" w:ascii="Times New Roman" w:hAnsi="Times New Roman" w:eastAsia="仿宋"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6"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火灾</w:t>
            </w:r>
          </w:p>
        </w:tc>
        <w:tc>
          <w:tcPr>
            <w:tcW w:w="1284"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仓库</w:t>
            </w:r>
            <w:r>
              <w:rPr>
                <w:rFonts w:hint="eastAsia" w:ascii="Times New Roman" w:hAnsi="Times New Roman" w:eastAsia="仿宋" w:cs="Times New Roman"/>
                <w:sz w:val="21"/>
                <w:szCs w:val="21"/>
                <w:lang w:eastAsia="zh-CN"/>
              </w:rPr>
              <w:t>（包括危废仓库）</w:t>
            </w:r>
            <w:r>
              <w:rPr>
                <w:rFonts w:hint="default" w:ascii="Times New Roman" w:hAnsi="Times New Roman" w:eastAsia="仿宋" w:cs="Times New Roman"/>
                <w:sz w:val="21"/>
                <w:szCs w:val="21"/>
                <w:lang w:eastAsia="zh-CN"/>
              </w:rPr>
              <w:t>、罐区、生产装置、三废处理装置</w:t>
            </w:r>
          </w:p>
        </w:tc>
        <w:tc>
          <w:tcPr>
            <w:tcW w:w="802"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消防水</w:t>
            </w:r>
          </w:p>
        </w:tc>
        <w:tc>
          <w:tcPr>
            <w:tcW w:w="789"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消防水尾水</w:t>
            </w:r>
          </w:p>
        </w:tc>
        <w:tc>
          <w:tcPr>
            <w:tcW w:w="864" w:type="pct"/>
            <w:tcBorders>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渗透、吸收</w:t>
            </w:r>
          </w:p>
        </w:tc>
        <w:tc>
          <w:tcPr>
            <w:tcW w:w="901" w:type="pct"/>
            <w:vMerge w:val="restart"/>
            <w:tcBorders>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p>
          <w:p>
            <w:pPr>
              <w:pStyle w:val="204"/>
              <w:spacing w:before="138" w:line="242" w:lineRule="auto"/>
              <w:ind w:left="121" w:right="5" w:hanging="106"/>
              <w:jc w:val="center"/>
              <w:rPr>
                <w:rFonts w:hint="default" w:ascii="Times New Roman" w:hAnsi="Times New Roman" w:eastAsia="仿宋" w:cs="Times New Roman"/>
                <w:sz w:val="21"/>
                <w:szCs w:val="21"/>
                <w:lang w:eastAsia="zh-CN"/>
              </w:rPr>
            </w:pPr>
          </w:p>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土壤、地表水及地下水环境污染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6"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爆炸</w:t>
            </w:r>
          </w:p>
        </w:tc>
        <w:tc>
          <w:tcPr>
            <w:tcW w:w="1284"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仓库</w:t>
            </w:r>
            <w:r>
              <w:rPr>
                <w:rFonts w:hint="eastAsia" w:ascii="Times New Roman" w:hAnsi="Times New Roman" w:eastAsia="仿宋" w:cs="Times New Roman"/>
                <w:sz w:val="21"/>
                <w:szCs w:val="21"/>
                <w:lang w:eastAsia="zh-CN"/>
              </w:rPr>
              <w:t>（包括危废仓库）</w:t>
            </w:r>
            <w:r>
              <w:rPr>
                <w:rFonts w:hint="default" w:ascii="Times New Roman" w:hAnsi="Times New Roman" w:eastAsia="仿宋" w:cs="Times New Roman"/>
                <w:sz w:val="21"/>
                <w:szCs w:val="21"/>
                <w:lang w:eastAsia="zh-CN"/>
              </w:rPr>
              <w:t>、罐区、生产装置、三废处理装置</w:t>
            </w:r>
          </w:p>
        </w:tc>
        <w:tc>
          <w:tcPr>
            <w:tcW w:w="802"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毒物逸散</w:t>
            </w:r>
          </w:p>
        </w:tc>
        <w:tc>
          <w:tcPr>
            <w:tcW w:w="789"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消防水尾水</w:t>
            </w:r>
          </w:p>
        </w:tc>
        <w:tc>
          <w:tcPr>
            <w:tcW w:w="864" w:type="pct"/>
            <w:tcBorders>
              <w:top w:val="single" w:color="000000" w:sz="4" w:space="0"/>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渗透、吸收</w:t>
            </w:r>
          </w:p>
        </w:tc>
        <w:tc>
          <w:tcPr>
            <w:tcW w:w="901" w:type="pct"/>
            <w:vMerge w:val="continue"/>
            <w:tcBorders>
              <w:top w:val="single" w:color="000000" w:sz="4" w:space="0"/>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56" w:type="pct"/>
            <w:vAlign w:val="top"/>
          </w:tcPr>
          <w:p>
            <w:pPr>
              <w:pStyle w:val="204"/>
              <w:spacing w:before="138" w:line="242" w:lineRule="auto"/>
              <w:ind w:right="5"/>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泄露</w:t>
            </w:r>
          </w:p>
          <w:p>
            <w:pPr>
              <w:pStyle w:val="204"/>
              <w:spacing w:before="138" w:line="242" w:lineRule="auto"/>
              <w:ind w:right="5"/>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渗漏</w:t>
            </w:r>
          </w:p>
        </w:tc>
        <w:tc>
          <w:tcPr>
            <w:tcW w:w="1284"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仓库</w:t>
            </w:r>
            <w:r>
              <w:rPr>
                <w:rFonts w:hint="eastAsia" w:ascii="Times New Roman" w:hAnsi="Times New Roman" w:eastAsia="仿宋" w:cs="Times New Roman"/>
                <w:sz w:val="21"/>
                <w:szCs w:val="21"/>
                <w:lang w:eastAsia="zh-CN"/>
              </w:rPr>
              <w:t>（包括危废仓库）</w:t>
            </w:r>
            <w:r>
              <w:rPr>
                <w:rFonts w:hint="default" w:ascii="Times New Roman" w:hAnsi="Times New Roman" w:eastAsia="仿宋" w:cs="Times New Roman"/>
                <w:sz w:val="21"/>
                <w:szCs w:val="21"/>
                <w:lang w:eastAsia="zh-CN"/>
              </w:rPr>
              <w:t>、罐区、生产装置、三废处理装置</w:t>
            </w:r>
          </w:p>
        </w:tc>
        <w:tc>
          <w:tcPr>
            <w:tcW w:w="802"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液态毒物、易溶于水的固态毒物</w:t>
            </w:r>
          </w:p>
        </w:tc>
        <w:tc>
          <w:tcPr>
            <w:tcW w:w="789" w:type="pct"/>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w:t>
            </w:r>
          </w:p>
        </w:tc>
        <w:tc>
          <w:tcPr>
            <w:tcW w:w="864" w:type="pct"/>
            <w:tcBorders>
              <w:top w:val="single" w:color="000000" w:sz="4" w:space="0"/>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渗透、吸收</w:t>
            </w:r>
          </w:p>
        </w:tc>
        <w:tc>
          <w:tcPr>
            <w:tcW w:w="901" w:type="pct"/>
            <w:vMerge w:val="continue"/>
            <w:tcBorders>
              <w:top w:val="single" w:color="000000" w:sz="4" w:space="0"/>
              <w:bottom w:val="single" w:color="000000" w:sz="4" w:space="0"/>
            </w:tcBorders>
          </w:tcPr>
          <w:p>
            <w:pPr>
              <w:pStyle w:val="204"/>
              <w:spacing w:before="138" w:line="242" w:lineRule="auto"/>
              <w:ind w:left="121" w:right="5" w:hanging="106"/>
              <w:jc w:val="center"/>
              <w:rPr>
                <w:rFonts w:hint="default" w:ascii="Times New Roman" w:hAnsi="Times New Roman" w:eastAsia="仿宋" w:cs="Times New Roman"/>
                <w:sz w:val="21"/>
                <w:szCs w:val="21"/>
                <w:lang w:eastAsia="zh-CN"/>
              </w:rPr>
            </w:pPr>
          </w:p>
        </w:tc>
      </w:tr>
    </w:tbl>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67" w:name="_Toc28144"/>
      <w:bookmarkStart w:id="168" w:name="_Toc27599"/>
      <w:r>
        <w:rPr>
          <w:rFonts w:hint="eastAsia" w:ascii="Times New Roman" w:hAnsi="Times New Roman" w:eastAsia="黑体" w:cs="Times New Roman"/>
          <w:color w:val="auto"/>
          <w:kern w:val="2"/>
          <w:sz w:val="28"/>
          <w:szCs w:val="28"/>
          <w:lang w:val="en-US" w:eastAsia="zh-CN" w:bidi="ar-SA"/>
        </w:rPr>
        <w:t>3.4</w:t>
      </w:r>
      <w:bookmarkEnd w:id="167"/>
      <w:r>
        <w:rPr>
          <w:rFonts w:hint="eastAsia" w:ascii="Times New Roman" w:hAnsi="Times New Roman" w:eastAsia="黑体" w:cs="Times New Roman"/>
          <w:color w:val="auto"/>
          <w:kern w:val="2"/>
          <w:sz w:val="28"/>
          <w:szCs w:val="28"/>
          <w:lang w:val="en-US" w:eastAsia="zh-CN" w:bidi="ar-SA"/>
        </w:rPr>
        <w:t>自然条件危险、有害因素分析</w:t>
      </w:r>
      <w:bookmarkEnd w:id="168"/>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169" w:name="_Toc3840"/>
      <w:r>
        <w:rPr>
          <w:rFonts w:hint="eastAsia" w:ascii="Times New Roman" w:hAnsi="Times New Roman" w:eastAsia="仿宋_GB2312" w:cs="Times New Roman"/>
          <w:color w:val="auto"/>
          <w:kern w:val="2"/>
          <w:sz w:val="24"/>
          <w:szCs w:val="24"/>
          <w:lang w:val="zh-CN" w:eastAsia="zh-CN" w:bidi="ar-SA"/>
        </w:rPr>
        <w:t>本项目所在地区春夏秋冬有雷雨天气（张家港市地区平均雷雨日为30d/a），生产车间、仓库等建筑、设施存在着遭受雷击的危险性。</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张家港市地区每年 6 月中下旬到 7 月上旬有梅雨期，此时正值长江汛期，在雨季有发生洪涝，可能引发危险化学品或危险废液进入水体和土壤中。</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70" w:name="_Toc19643"/>
      <w:r>
        <w:rPr>
          <w:rFonts w:hint="eastAsia" w:ascii="Times New Roman" w:hAnsi="Times New Roman" w:eastAsia="黑体" w:cs="Times New Roman"/>
          <w:color w:val="auto"/>
          <w:kern w:val="2"/>
          <w:sz w:val="28"/>
          <w:szCs w:val="28"/>
          <w:lang w:val="en-US" w:eastAsia="zh-CN" w:bidi="ar-SA"/>
        </w:rPr>
        <w:t>3.5环境应急能力评估</w:t>
      </w:r>
      <w:bookmarkEnd w:id="169"/>
      <w:bookmarkEnd w:id="170"/>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171" w:name="_Toc6907"/>
      <w:r>
        <w:rPr>
          <w:rFonts w:hint="eastAsia" w:ascii="Times New Roman" w:hAnsi="Times New Roman" w:eastAsia="仿宋_GB2312" w:cs="Times New Roman"/>
          <w:color w:val="auto"/>
          <w:kern w:val="2"/>
          <w:sz w:val="24"/>
          <w:szCs w:val="24"/>
          <w:lang w:val="zh-CN" w:eastAsia="zh-CN" w:bidi="ar-SA"/>
        </w:rPr>
        <w:t>3.5.1 现有应急能力</w:t>
      </w:r>
      <w:bookmarkEnd w:id="171"/>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仿宋_GB2312" w:cs="Times New Roman"/>
          <w:b/>
          <w:bCs/>
          <w:color w:val="auto"/>
          <w:kern w:val="2"/>
          <w:sz w:val="24"/>
          <w:szCs w:val="24"/>
          <w:lang w:val="zh-CN" w:eastAsia="zh-CN" w:bidi="ar-SA"/>
        </w:rPr>
      </w:pPr>
      <w:r>
        <w:rPr>
          <w:rFonts w:hint="eastAsia" w:eastAsia="仿宋_GB2312" w:cs="Times New Roman"/>
          <w:b/>
          <w:bCs/>
          <w:color w:val="auto"/>
          <w:kern w:val="2"/>
          <w:sz w:val="24"/>
          <w:szCs w:val="24"/>
          <w:lang w:val="en-US" w:eastAsia="zh-CN" w:bidi="ar-SA"/>
        </w:rPr>
        <w:t>3.5.1.1</w:t>
      </w:r>
      <w:r>
        <w:rPr>
          <w:rFonts w:hint="eastAsia" w:ascii="Times New Roman" w:hAnsi="Times New Roman" w:eastAsia="仿宋_GB2312" w:cs="Times New Roman"/>
          <w:b/>
          <w:bCs/>
          <w:color w:val="auto"/>
          <w:kern w:val="2"/>
          <w:sz w:val="24"/>
          <w:szCs w:val="24"/>
          <w:lang w:val="zh-CN" w:eastAsia="zh-CN" w:bidi="ar-SA"/>
        </w:rPr>
        <w:t>突发环境事件预防措施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A.总图布置和建筑安全防范措施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（1）总图布置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经现场勘查，双狮（张家港）精细化工有限公司已建设的厂房、储罐区和生产辅助用房建筑设施包括：生产车间、罐区、办公室等。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生产区内道路由主干道和次干道构成。主干道设计道宽6.0米，次要道路4.0米，企业现有设备平面布局分块合理，装置与相邻的装置之间，装置内各单元之间均有足够的安全距离，装置内各单元和储罐区均有环形道路，便于安全疏散和消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企业厂区总平面布置合理，生产区和办公区分开布置，厂区内各建（构）筑物之间的安全间距符合《建筑设计防火规范》（GB50016-2014）要求，厂内及周边道路畅通，符合国家相关标准规范要求。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公司生产区域与办公区域分开设置，办公楼设在厂区常年主导风向的上风侧，厂区朝南有三个大门。东侧二个大门为人流，正对办公楼，厂区西侧3号门为物流。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厂区道路实行人、货流分开（划分人行区域和车辆行驶区域、不重叠），划出专用车辆行驶路线、限速标志等并严格执行；在厂区总平面布置中配套建设应急救援设施、救援通道、应急疏散避难所等防护设施。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厂区已按照安全生产、消防和环保的要求，设立有足够的防火通道，厂内布置有消防栓、消防水枪、灭火器。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（2）建筑安全防范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各种易燃易爆物料均储存在阴凉、通风处，远离火源，避免与强氧化剂接触；安放易发生爆炸设备的房间，不允许人员随便入内，操作全部在控制室进行。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氯气生产、使用、贮存等厂房结构，充分利用自然通风条件换气，在环境、气候条件允许下，采用半敞开式结构；对于不能采用自然通用的场所，公司采用机械通风（且不使用循环风）。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作业区内道路的设计、车辆的行驶、货物装载、车辆驾驶员的管理符合《工业企业铁路、道路运输安全规程》(GB4387-1994)，并设立醒目标志。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B.自动控制安全防范要求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公司生产装置工艺控制要求严格，自动化水平较高，大部分子项集中检测，控制点均接进中控室的DCS系统，进行集中指示和控制。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硫磺制酸、氯碱装置装置设置DCS控制室，以集中控制为主，整个生产过程的操作及主要设备的状态显示、停止操作均可在控制室内完成。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采用DCS 集散控制系统进行整个装置的监视、控制，生产过程中的主要工艺参数会在CRT中进行显示、记录、报警，并通过控制系统进行调节、联锁、计算。装置所有需要集中检测的工艺参数信号从现场通过电缆直接送入控制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DCS系统配置能够满足硫磺制酸装置、氯碱主装置任何工况下的监控要求(包括紧急故障处理)。DCS 操作系统配置UPS 备用电源，所有机泵运行状态信号进入DCS 显示，并设计紧急停车控制系统。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DCS的系统接地严格遵守技术要求，所有进入DCS系统控制信号的电缆采用质量合格的屏蔽电缆，且有良好的单端接地。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为避免生产中由于误操作等因素带来的不安全，皮带运输送机上有安全保护开关如防偏开关和紧急制动开关，工艺系统及电力设计中都考虑了各种保护性措施，如报警器，联锁及自动切换等设施，并由DCS系统执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公司在控制室、变配电室等处设感温/ 感烟探测器，在各通道出口处设手动报警按钮/ 防爆手动报警按钮和声光报警器。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C.工艺和设备、装置安全防范措施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(1)工艺控制系统中具有越限报警系统和连锁自保系统，确保在误操作或非正常状况下，物料始终处于安全控制中；</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(2)对有可能超压的塔、釜容器等设备设置安全阀和放空系统，对有毒物质的放空引到安全释放地点；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(3)选用合适的防腐设备、防腐衬里等设备，防止SO</w:t>
      </w:r>
      <w:r>
        <w:rPr>
          <w:rFonts w:hint="eastAsia" w:ascii="Times New Roman" w:hAnsi="Times New Roman" w:eastAsia="仿宋_GB2312" w:cs="Times New Roman"/>
          <w:color w:val="auto"/>
          <w:kern w:val="2"/>
          <w:sz w:val="24"/>
          <w:szCs w:val="24"/>
          <w:vertAlign w:val="subscript"/>
          <w:lang w:val="zh-CN" w:eastAsia="zh-CN" w:bidi="ar-SA"/>
        </w:rPr>
        <w:t>2</w:t>
      </w:r>
      <w:r>
        <w:rPr>
          <w:rFonts w:hint="eastAsia" w:ascii="Times New Roman" w:hAnsi="Times New Roman" w:eastAsia="仿宋_GB2312" w:cs="Times New Roman"/>
          <w:color w:val="auto"/>
          <w:kern w:val="2"/>
          <w:sz w:val="24"/>
          <w:szCs w:val="24"/>
          <w:lang w:val="zh-CN" w:eastAsia="zh-CN" w:bidi="ar-SA"/>
        </w:rPr>
        <w:t>、SO</w:t>
      </w:r>
      <w:r>
        <w:rPr>
          <w:rFonts w:hint="eastAsia" w:ascii="Times New Roman" w:hAnsi="Times New Roman" w:eastAsia="仿宋_GB2312" w:cs="Times New Roman"/>
          <w:color w:val="auto"/>
          <w:kern w:val="2"/>
          <w:sz w:val="24"/>
          <w:szCs w:val="24"/>
          <w:vertAlign w:val="subscript"/>
          <w:lang w:val="zh-CN" w:eastAsia="zh-CN" w:bidi="ar-SA"/>
        </w:rPr>
        <w:t>3</w:t>
      </w:r>
      <w:r>
        <w:rPr>
          <w:rFonts w:hint="eastAsia" w:ascii="Times New Roman" w:hAnsi="Times New Roman" w:eastAsia="仿宋_GB2312" w:cs="Times New Roman"/>
          <w:color w:val="auto"/>
          <w:kern w:val="2"/>
          <w:sz w:val="24"/>
          <w:szCs w:val="24"/>
          <w:lang w:val="zh-CN" w:eastAsia="zh-CN" w:bidi="ar-SA"/>
        </w:rPr>
        <w:t>含酸使设施发生腐蚀泄漏。公司酸管道采用美国MECS 公司的专用于硫酸生产的专利不锈钢材料ZECOR-Z 和ZECOR-310M，年腐蚀量小于0.01mm。</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(4)生产过程中的正常操作及工艺安全监测参数在中央控制室通过DCS系统进行控制，对硫磺制酸生产工艺化学参数连续检测；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(5)各主要操作点设置事故停车开关，对关键安全联锁，设手动联锁复位按钮，以保证安全操作；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(6)在爆炸危险区域有可能泄漏可燃气体的地方，设置传感变送器，信号直接进入中央控制室内的独立报警系统。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(7)公司工程DCS系统及其它关键设备应采用双回路供电，保证供电的可靠性。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(8)对于有腐蚀性的物料如二氧化硫和三氧化硫等，在加工、储存、输送均以密闭的方式进行，连接处采用可靠的密封措施，在正常的生产过程中操作人员不和这些物料直接接触；在操作人员可能接触到腐蚀性介质的位置如硫磺制酸装置、氯碱装置设置事故淋浴洗眼器，事故时可以及时冲洗，减轻腐蚀伤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(9)硫酸具有较强的腐蚀性，车间选用可靠的机泵、阀门、管道、管件，加强维护与管理，严禁跑、冒、滴、漏现象发生，对设备、管道选用国际最先进的耐腐蚀材料。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(10)氯、氢的生产、使用、储存、输送严格执行《氯气安全规程》(GB11984-2008)，《氢气使用安全技术规程(GB4962-2008)》及有关标准规范。在氯处理单元，当系统压力超压时氯气出氯气洗涤塔，冲破安全水封时，进入氯气事故吸收塔，而且开停车时的淡氯气也进入氯气事故处理塔，用碱液循环喷淋吸收氯气。</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(11)氯碱项目防止三氯化氮爆炸采取的控制措施：公司采取进口澳大利亚的原盐和使用蒸汽冷凝水化盐的控制措施（因澳大利亚的原盐和长江水中含氮化合物较少）；在一次盐水工段，通过在原水中投加次钠来控制盐水中氨的含量，从源头上控制三氯化氮的产生；在氯液化工段，通过定期排放来减小系统中的三氯化氮含量；在液氯充装工段，采用泵充装方式，使极少量的三氯化氮可随产品分散，从而避免了积聚的可能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 xml:space="preserve">（12）在表面高温的设备和管道及阀门、法兰处设防烫伤隔热措施，以使操作人员避免受伤害，在高温装置区设置了高温危险的警示标志。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D.电气、电讯安全防范措施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 xml:space="preserve">（1）生产区的各个相对独立的建筑物、构筑物内的管道，通过工艺设备金属外壳的连接进行静电接地，尽可能减少和避免管道的弯曲和变形。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（2）工作场所的地面，采用不发生火花的防爆地面；进入工作场所的人员，穿戴防静电安全鞋、防静电工作服和防静电手套。禁止穿戴化纤服装和带钉鞋。在装置入口处设置人体静电消除设施。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（3）供电系统按二级负荷设计，同时供电的两回路及以上供配电线路中一回路中断供电时，其余线路应能满足全部一级负荷及二级负荷。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（4）硫磺制酸装置和氯碱生产装置的易燃易爆危险环境的动力、照明的电气设计符合现行国标准《爆炸和火灾危险环境电力装置设计规范》(GB50058—1992)的规定。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（5）在危险区域内采取消除或控制电气设备线路产生火花、电弧或高温的措施。在爆炸性气体环境内，电气设备的外露可导电部分可靠接地。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（6）装卸易燃物质的容器及输送易燃物质的机泵、管道采取防止泄漏的措施，且不得带压力修理。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高压配电室、低压配电室、变压器室、电气控制室、电缆隧道、电缆室、车间的电缆桥架等处，设防火阻断墙及火灾报警系统，所属建筑物、构筑物符合耐火等级，经高温区和易燃区电缆选用阻燃耐火型电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（8）严格执行临时用电及变电所工作票制度、操作票制度和停电、验电、挂接地线、挂警告牌及检修结束后恢复送电拆除安全措施等程序制度。制定各车间设备的电气安全操作规程。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E.储存设施安全防范措施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公司危险化学品储运过程中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设立专用库区，使其符合储存危险化学品的相关条件（如防晒、防潮、通风、防雷、防静电等），实施危险化学品的储存和使用；对使用危险化学品的名称、数量进行严格登记；凡储存、使用危险化学品的岗位，配置合格的防毒器材、消防器材，并确保其处于完好状态；所有进入储存、使用危险化学品的人员，都必须严格遵守《危险化学品管理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液氯储区的风险防范措施：贮罐输入或输出管道，设置两个以上截止阀门，定期检查，确保正常；在贮罐20m以内，严禁堆放易燃、可燃物品；贮罐的贮存量不超过贮罐容量的80%；贮罐库区范围内设有安全标志；公司设置了碱液池，一旦液氯钢瓶发生泄漏，可将液氯钢瓶放入碱液池中，通过碱液与氯气的反应来吸收钢瓶泄漏出的氯气，待钢瓶中氯气吸收完毕后，再将钢瓶取出进行处置，从而大大降低对液氯泄漏事故对周边环境的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硫酸、氢氧化钠、次氯酸钠等储罐的安全对策措施：储罐与周边建筑的距离满足《建筑设计防火规范》（2006版）的要求，储罐区设置非燃烧材料的防火堤，含油污水排水管在出防火堤处应设水封设施，雨水排水管设置阀门等封闭装置；储罐与泵房和汽车装卸鹤管的距离大于15米；硫酸、氢氧化钠等液体储罐分开布置，中间用防火堤分隔。</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F.消防及火灾报警系统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（1）消防火灾系统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公司建设有火灾自动报警及联动控制装置，其中包括集中火灾报警控制器1台，手动报警按钮29只和警铃29只。在各装置的生产车间内具有火灾危险的场所设置一定数量的小型灭火器材。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公司已通过消防验收：建筑物的结构、通道、安全出口等符合防火要求；消防设备和器材的配制符合要求。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公司利用江苏扬子江化学工业园完善的消防设施，同时，公司设有消防水池及消火栓等消防系统，公司消防给水池容积约5000m</w:t>
      </w:r>
      <w:r>
        <w:rPr>
          <w:rFonts w:hint="eastAsia" w:ascii="Times New Roman" w:hAnsi="Times New Roman" w:eastAsia="仿宋_GB2312" w:cs="Times New Roman"/>
          <w:color w:val="auto"/>
          <w:kern w:val="2"/>
          <w:sz w:val="24"/>
          <w:szCs w:val="24"/>
          <w:vertAlign w:val="superscript"/>
          <w:lang w:val="zh-CN" w:eastAsia="zh-CN" w:bidi="ar-SA"/>
        </w:rPr>
        <w:t>3</w:t>
      </w:r>
      <w:r>
        <w:rPr>
          <w:rFonts w:hint="eastAsia" w:ascii="Times New Roman" w:hAnsi="Times New Roman" w:eastAsia="仿宋_GB2312" w:cs="Times New Roman"/>
          <w:color w:val="auto"/>
          <w:kern w:val="2"/>
          <w:sz w:val="24"/>
          <w:szCs w:val="24"/>
          <w:lang w:val="zh-CN" w:eastAsia="zh-CN" w:bidi="ar-SA"/>
        </w:rPr>
        <w:t>，消防水池水采用公司水厂清水池中的水。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公司建设消防水收集池，容积为1700m</w:t>
      </w:r>
      <w:r>
        <w:rPr>
          <w:rFonts w:hint="eastAsia" w:ascii="Times New Roman" w:hAnsi="Times New Roman" w:eastAsia="仿宋_GB2312" w:cs="Times New Roman"/>
          <w:color w:val="auto"/>
          <w:kern w:val="2"/>
          <w:sz w:val="24"/>
          <w:szCs w:val="24"/>
          <w:vertAlign w:val="superscript"/>
          <w:lang w:val="zh-CN" w:eastAsia="zh-CN" w:bidi="ar-SA"/>
        </w:rPr>
        <w:t>3</w:t>
      </w:r>
      <w:r>
        <w:rPr>
          <w:rFonts w:hint="eastAsia" w:ascii="Times New Roman" w:hAnsi="Times New Roman" w:eastAsia="仿宋_GB2312" w:cs="Times New Roman"/>
          <w:color w:val="auto"/>
          <w:kern w:val="2"/>
          <w:sz w:val="24"/>
          <w:szCs w:val="24"/>
          <w:lang w:val="zh-CN" w:eastAsia="zh-CN" w:bidi="ar-SA"/>
        </w:rPr>
        <w:t>，收纳事故废水，事故废水经污水站处理达接管标准后，排入保税区污水处理厂。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（2）有毒可燃气体报警装置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在电解车间设置了4个氢气泄漏报警装置；在氯碱工段设置防爆手动报警按钮及防爆型声光讯响器；在变配电室内设置感烟探测器、声光讯响器、手动报警按钮等报警设备，以便对界区内的火情实施监测。一旦火警确认后，火灾报警控制器自动启动声光讯响器，通告相关区域内人员撤离，同时火灾报警控制器发出联动控制信号，切断相关区域内的非消防电源以及控制联动设备进行动作，并接受其返回信号，从而将火灾危害控制在最低限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G、环境风险源监控措施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（1）公司在生产区域设有多路监控摄像头和氯气、氢气泄漏报警器。</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default" w:ascii="Times New Roman" w:hAnsi="Times New Roman" w:eastAsia="黑体" w:cs="Times New Roman"/>
          <w:b/>
          <w:bCs/>
          <w:color w:val="auto"/>
          <w:kern w:val="2"/>
          <w:sz w:val="21"/>
          <w:szCs w:val="21"/>
          <w:lang w:val="zh-CN" w:eastAsia="zh-CN" w:bidi="ar-SA"/>
        </w:rPr>
      </w:pPr>
      <w:r>
        <w:rPr>
          <w:rFonts w:hint="default" w:ascii="Times New Roman" w:hAnsi="Times New Roman" w:eastAsia="黑体" w:cs="Times New Roman"/>
          <w:b/>
          <w:bCs/>
          <w:color w:val="auto"/>
          <w:kern w:val="2"/>
          <w:sz w:val="21"/>
          <w:szCs w:val="21"/>
          <w:lang w:val="zh-CN" w:eastAsia="zh-CN" w:bidi="ar-SA"/>
        </w:rPr>
        <w:t>表3</w:t>
      </w:r>
      <w:r>
        <w:rPr>
          <w:rFonts w:hint="default" w:ascii="Times New Roman" w:hAnsi="Times New Roman" w:eastAsia="黑体" w:cs="Times New Roman"/>
          <w:b/>
          <w:bCs/>
          <w:color w:val="auto"/>
          <w:kern w:val="2"/>
          <w:sz w:val="21"/>
          <w:szCs w:val="21"/>
          <w:lang w:val="en-US" w:eastAsia="zh-CN" w:bidi="ar-SA"/>
        </w:rPr>
        <w:t>-3</w:t>
      </w:r>
      <w:r>
        <w:rPr>
          <w:rFonts w:hint="default" w:ascii="Times New Roman" w:hAnsi="Times New Roman" w:eastAsia="黑体" w:cs="Times New Roman"/>
          <w:b/>
          <w:bCs/>
          <w:color w:val="auto"/>
          <w:kern w:val="2"/>
          <w:sz w:val="21"/>
          <w:szCs w:val="21"/>
          <w:lang w:val="zh-CN" w:eastAsia="zh-CN" w:bidi="ar-SA"/>
        </w:rPr>
        <w:t xml:space="preserve">  厂区预警及监控设施一览表</w:t>
      </w:r>
    </w:p>
    <w:tbl>
      <w:tblPr>
        <w:tblStyle w:val="36"/>
        <w:tblW w:w="4598"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674"/>
        <w:gridCol w:w="2164"/>
        <w:gridCol w:w="1630"/>
        <w:gridCol w:w="993"/>
        <w:gridCol w:w="3079"/>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82" w:hRule="atLeast"/>
          <w:tblHeader/>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b/>
                <w:bCs/>
                <w:sz w:val="21"/>
                <w:szCs w:val="21"/>
                <w:lang w:val="zh-CN" w:eastAsia="zh-CN"/>
              </w:rPr>
            </w:pPr>
            <w:r>
              <w:rPr>
                <w:rFonts w:hint="eastAsia" w:ascii="Times New Roman" w:hAnsi="Times New Roman" w:eastAsia="仿宋" w:cs="Times New Roman"/>
                <w:b/>
                <w:bCs/>
                <w:sz w:val="21"/>
                <w:szCs w:val="21"/>
                <w:lang w:val="zh-CN" w:eastAsia="zh-CN"/>
              </w:rPr>
              <w:t>序号</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b/>
                <w:bCs/>
                <w:sz w:val="21"/>
                <w:szCs w:val="21"/>
                <w:lang w:val="zh-CN" w:eastAsia="zh-CN"/>
              </w:rPr>
            </w:pPr>
            <w:r>
              <w:rPr>
                <w:rFonts w:hint="eastAsia" w:ascii="Times New Roman" w:hAnsi="Times New Roman" w:eastAsia="仿宋" w:cs="Times New Roman"/>
                <w:b/>
                <w:bCs/>
                <w:sz w:val="21"/>
                <w:szCs w:val="21"/>
                <w:lang w:val="zh-CN" w:eastAsia="zh-CN"/>
              </w:rPr>
              <w:t>设备名称</w:t>
            </w:r>
          </w:p>
        </w:tc>
        <w:tc>
          <w:tcPr>
            <w:tcW w:w="1630" w:type="dxa"/>
            <w:noWrap w:val="0"/>
            <w:vAlign w:val="center"/>
          </w:tcPr>
          <w:p>
            <w:pPr>
              <w:pStyle w:val="204"/>
              <w:spacing w:before="138" w:line="242" w:lineRule="auto"/>
              <w:ind w:left="121" w:right="5" w:hanging="106"/>
              <w:jc w:val="center"/>
              <w:rPr>
                <w:rFonts w:hint="eastAsia" w:ascii="Times New Roman" w:hAnsi="Times New Roman" w:eastAsia="仿宋" w:cs="Times New Roman"/>
                <w:b/>
                <w:bCs/>
                <w:sz w:val="21"/>
                <w:szCs w:val="21"/>
                <w:lang w:val="zh-CN" w:eastAsia="zh-CN"/>
              </w:rPr>
            </w:pPr>
            <w:r>
              <w:rPr>
                <w:rFonts w:hint="eastAsia" w:ascii="Times New Roman" w:hAnsi="Times New Roman" w:eastAsia="仿宋" w:cs="Times New Roman"/>
                <w:b/>
                <w:bCs/>
                <w:sz w:val="21"/>
                <w:szCs w:val="21"/>
                <w:lang w:val="zh-CN" w:eastAsia="zh-CN"/>
              </w:rPr>
              <w:t>规格型号</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b/>
                <w:bCs/>
                <w:sz w:val="21"/>
                <w:szCs w:val="21"/>
                <w:lang w:val="zh-CN" w:eastAsia="zh-CN"/>
              </w:rPr>
            </w:pPr>
            <w:r>
              <w:rPr>
                <w:rFonts w:hint="eastAsia" w:ascii="Times New Roman" w:hAnsi="Times New Roman" w:eastAsia="仿宋" w:cs="Times New Roman"/>
                <w:b/>
                <w:bCs/>
                <w:sz w:val="21"/>
                <w:szCs w:val="21"/>
                <w:lang w:val="zh-CN" w:eastAsia="zh-CN"/>
              </w:rPr>
              <w:t>数量</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b/>
                <w:bCs/>
                <w:sz w:val="21"/>
                <w:szCs w:val="21"/>
                <w:lang w:val="zh-CN" w:eastAsia="zh-CN"/>
              </w:rPr>
            </w:pPr>
            <w:r>
              <w:rPr>
                <w:rFonts w:hint="eastAsia" w:ascii="Times New Roman" w:hAnsi="Times New Roman" w:eastAsia="仿宋" w:cs="Times New Roman"/>
                <w:b/>
                <w:bCs/>
                <w:sz w:val="21"/>
                <w:szCs w:val="21"/>
                <w:lang w:val="zh-CN" w:eastAsia="zh-CN"/>
              </w:rPr>
              <w:t>安装地点</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1</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监控系统</w:t>
            </w:r>
          </w:p>
        </w:tc>
        <w:tc>
          <w:tcPr>
            <w:tcW w:w="1630"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JB-TB-AE2302</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15台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液氯储槽、充装、瓶检等区域</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55" w:hRule="atLeast"/>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2</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监控系统</w:t>
            </w:r>
          </w:p>
        </w:tc>
        <w:tc>
          <w:tcPr>
            <w:tcW w:w="1630" w:type="dxa"/>
            <w:noWrap w:val="0"/>
            <w:vAlign w:val="top"/>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JB-TB-AE2302</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1台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化验室</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93" w:hRule="atLeast"/>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3</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监控系统</w:t>
            </w:r>
          </w:p>
        </w:tc>
        <w:tc>
          <w:tcPr>
            <w:tcW w:w="1630" w:type="dxa"/>
            <w:noWrap w:val="0"/>
            <w:vAlign w:val="top"/>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JB-TB-AE2302</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3台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高纯盐酸</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55" w:hRule="atLeast"/>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4</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氯泄漏报警器</w:t>
            </w:r>
          </w:p>
        </w:tc>
        <w:tc>
          <w:tcPr>
            <w:tcW w:w="1630" w:type="dxa"/>
            <w:noWrap w:val="0"/>
            <w:vAlign w:val="top"/>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ST-10S型</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48台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氯碱车间、厂界</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55" w:hRule="atLeast"/>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5</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氢气泄漏报警器</w:t>
            </w:r>
          </w:p>
        </w:tc>
        <w:tc>
          <w:tcPr>
            <w:tcW w:w="1630"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ST-10S型</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4台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氯碱车间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6</w:t>
            </w:r>
          </w:p>
        </w:tc>
        <w:tc>
          <w:tcPr>
            <w:tcW w:w="2164"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有毒有害气体检测仪</w:t>
            </w:r>
          </w:p>
        </w:tc>
        <w:tc>
          <w:tcPr>
            <w:tcW w:w="1630"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JTQ-AEC2232</w:t>
            </w:r>
          </w:p>
        </w:tc>
        <w:tc>
          <w:tcPr>
            <w:tcW w:w="993"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1台</w:t>
            </w:r>
          </w:p>
        </w:tc>
        <w:tc>
          <w:tcPr>
            <w:tcW w:w="3079" w:type="dxa"/>
            <w:noWrap w:val="0"/>
            <w:vAlign w:val="center"/>
          </w:tcPr>
          <w:p>
            <w:pPr>
              <w:pStyle w:val="204"/>
              <w:spacing w:before="138" w:line="242" w:lineRule="auto"/>
              <w:ind w:left="121" w:right="5" w:hanging="106"/>
              <w:jc w:val="center"/>
              <w:rPr>
                <w:rFonts w:hint="eastAsia" w:ascii="Times New Roman" w:hAnsi="Times New Roman" w:eastAsia="仿宋" w:cs="Times New Roman"/>
                <w:sz w:val="21"/>
                <w:szCs w:val="21"/>
                <w:lang w:val="zh-CN" w:eastAsia="zh-CN"/>
              </w:rPr>
            </w:pPr>
            <w:r>
              <w:rPr>
                <w:rFonts w:hint="eastAsia" w:ascii="Times New Roman" w:hAnsi="Times New Roman" w:eastAsia="仿宋" w:cs="Times New Roman"/>
                <w:sz w:val="21"/>
                <w:szCs w:val="21"/>
                <w:lang w:val="zh-CN" w:eastAsia="zh-CN"/>
              </w:rPr>
              <w:t>氯磺酸储罐区</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（2）产品生产过程、危险岗位等均有自动化控制及报警装置；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（3）厂区车间、重点风险源实行巡查制度；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（4）仓库等备有泄漏应急处理设备及泄漏物堵漏、收集材料等。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（5）污水处理总排口设有在线自动监控设施；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H、环境风险预防措施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（1）控制与消除火源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厂区禁火区严禁吸烟、携带火种，禁止穿带锭皮鞋进入易燃易爆区；动火作业必须按程序办理动火作业证并采取有效的防范措施，在有现场监护通风良好的条件下方能动火；防爆区域内使用防爆型电器，严禁钢制工具敲打、撞击、抛掷；转动设备应保持清洁，防止因摩擦引起杂物等燃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（2）加强管理、严格工艺纪律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遵守各项规章制度和操作规程，严格执行岗位责任制；坚持巡回检查，发现问题及时处理；加强职工的培训、教育和考核工作；氯碱电解、氢处理、合成盐酸等装置区的动火作业按一级动火等级办理作业许可。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（3）安全措施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配备必要的消防设施，易燃易爆场所安装可燃气体检测报警装置；员工在生产操作时应佩戴相应的劳动防护用品，培训员工正确使用防毒过滤器等防护用具；厂区设有卫生冲洗设施，车间采取防静电措施；按规定对氢气锅炉进行定期检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（4）有毒、易燃、腐蚀性物质泄漏风险预防措施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①公司在电解车间设置有氢气泄漏报警装置，在氯碱车间及厂界设置氯气泄漏报警装置，便于及时发现气体泄漏并采取措施防止事故扩大；在氯气分装车间建设有氯气应急碱性吸收池，一旦液氯钢瓶发生泄漏，可将液氯钢瓶放入碱液池中，通过碱液与氯气的反应来吸收钢瓶泄漏出的氯气，从而减少液氯泄漏对周围的影响；在合成盐酸的氢气管道上安装有阻火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②厂区内生产装置实现了密闭化、管道化，防止有毒物质、腐蚀物质泄漏、外逸。对生产中可能突然逸出大量有害物质或易造成急性中毒或易燃易爆的化学物质的作业场所，安装自动报警装置、事故通风设施、生产装置设置连锁和紧急停车系统，并独立于控制系统，氯碱车间设置火灾自动报警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③作业场所的作业人员应正确穿戴好防护用品，如工作服、安全眼镜、工作鞋、手套、口罩或呼吸保护器、连衣帽等，防护用品等不得带出工作场所；有毒作业设流动监护人员或工业电视监视。在有毒作业环境中，配置事故柜、急救箱、个人冲洗器、淋浴装置等，以便应急时使用。对作业人员进行充分的安全教育，作业人员熟练地掌握安全操作，具有预防中毒和现场急救、自救能力，紧急情况应变能力；加强对职工的培训与教育，以增强职工的安全意识与防范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④若发生物料泄漏，所有排液、排气应尽可能收集，集中妥善处置，避免随意流散。公司共设置4个事故应急池，分别设置在硫酸装置区、罐区和氯磺酸装置区，配置完善的管道系统，保证各单元泄漏物料能迅速集中到事故池集中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I.物料运输风险防范措施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（1）危险化学品运输委托有运输资质的运输单位承担，并严格执行承包商制度。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（2）制定了危险化学品运输、装卸安全管理制度，并监督执行。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（3）每次运输前应准确告诉司机和押运人员有关运输物质的性质和事故应急处理办法。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（4）危险化学品装卸前后，有专人对车辆、装卸使用的工具进行检查，对人员进行教育，并实施装卸过程的监护工作。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J.废水事故风险防范措施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污水接管口及雨水排口设置切断装置，正常情况下，厂区处理达标的污水通过规范化污水排放口排入园区污水处理厂集中处理，设有初期雨水收集池，初期雨水收集至污水池，处理达标后接管，后期雨水经集水井切换至雨水管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若发生事故，产生事故废水，则关闭雨污水排放口控制阀门，打开事故应急池阀门，使厂区污水排口、雨水排口与外界阻断，防止事故废水外排，并将事故废水泵入事故池，待事故应急处理结束后，再妥善处理事故废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厂区内污水排放口、雨水排放口切断装置均设有自动控制系统，且已纳入全厂自动化控制系统，实现厂区控制室内的集中控制，发生事故后，控制室能及时采取措施，开启切断装置，防止事故废水外排。</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仿宋_GB2312" w:cs="Times New Roman"/>
          <w:b/>
          <w:bCs/>
          <w:color w:val="auto"/>
          <w:kern w:val="2"/>
          <w:sz w:val="24"/>
          <w:szCs w:val="24"/>
          <w:lang w:val="zh-CN" w:eastAsia="zh-CN" w:bidi="ar-SA"/>
        </w:rPr>
      </w:pPr>
      <w:r>
        <w:rPr>
          <w:rFonts w:hint="eastAsia" w:eastAsia="仿宋_GB2312" w:cs="Times New Roman"/>
          <w:b/>
          <w:bCs/>
          <w:color w:val="auto"/>
          <w:kern w:val="2"/>
          <w:sz w:val="24"/>
          <w:szCs w:val="24"/>
          <w:lang w:val="en-US" w:eastAsia="zh-CN" w:bidi="ar-SA"/>
        </w:rPr>
        <w:t>3.5.1.2</w:t>
      </w:r>
      <w:r>
        <w:rPr>
          <w:rFonts w:hint="eastAsia" w:ascii="Times New Roman" w:hAnsi="Times New Roman" w:eastAsia="仿宋_GB2312" w:cs="Times New Roman"/>
          <w:b/>
          <w:bCs/>
          <w:color w:val="auto"/>
          <w:kern w:val="2"/>
          <w:sz w:val="24"/>
          <w:szCs w:val="24"/>
          <w:lang w:val="zh-CN" w:eastAsia="zh-CN" w:bidi="ar-SA"/>
        </w:rPr>
        <w:t>应急装备、应急物资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配备了多种应急装备和物资，如机泵、固废收集桶、堵漏工具、疏散指示灯、应急照明灯、逃生通道等；配备了消防泵房、消防水池、消防给水带、泡沫栓、消防炮、灭火器、消防水枪等消防应急装备和物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各车间均安装了可燃气体检测报警仪和有毒气体检测报警仪，并为员工配备了自给式呼吸器、安全帽、防化服、防毒面具、防化手套等个体防护用品。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具体见《环境应急资源调查报告》。</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仿宋_GB2312" w:cs="Times New Roman"/>
          <w:b/>
          <w:bCs/>
          <w:color w:val="auto"/>
          <w:kern w:val="2"/>
          <w:sz w:val="24"/>
          <w:szCs w:val="24"/>
          <w:lang w:val="zh-CN" w:eastAsia="zh-CN" w:bidi="ar-SA"/>
        </w:rPr>
      </w:pPr>
      <w:r>
        <w:rPr>
          <w:rFonts w:hint="eastAsia" w:eastAsia="仿宋_GB2312" w:cs="Times New Roman"/>
          <w:b/>
          <w:bCs/>
          <w:color w:val="auto"/>
          <w:kern w:val="2"/>
          <w:sz w:val="24"/>
          <w:szCs w:val="24"/>
          <w:lang w:val="en-US" w:eastAsia="zh-CN" w:bidi="ar-SA"/>
        </w:rPr>
        <w:t>3.5.1.3</w:t>
      </w:r>
      <w:r>
        <w:rPr>
          <w:rFonts w:hint="eastAsia" w:ascii="Times New Roman" w:hAnsi="Times New Roman" w:eastAsia="仿宋_GB2312" w:cs="Times New Roman"/>
          <w:b/>
          <w:bCs/>
          <w:color w:val="auto"/>
          <w:kern w:val="2"/>
          <w:sz w:val="24"/>
          <w:szCs w:val="24"/>
          <w:lang w:val="zh-CN" w:eastAsia="zh-CN" w:bidi="ar-SA"/>
        </w:rPr>
        <w:t>应急队伍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公司成立了应急救援组织机构，包括抢险抢修组、安全保卫组、生产技术组、物资供应组、后勤救援组、安全警戒组、环境监测组，发生事故时，根据分工进行紧密协作。</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仿宋_GB2312" w:cs="Times New Roman"/>
          <w:b/>
          <w:bCs/>
          <w:color w:val="auto"/>
          <w:kern w:val="2"/>
          <w:sz w:val="24"/>
          <w:szCs w:val="24"/>
          <w:lang w:val="zh-CN" w:eastAsia="zh-CN" w:bidi="ar-SA"/>
        </w:rPr>
      </w:pPr>
      <w:r>
        <w:rPr>
          <w:rFonts w:hint="eastAsia" w:eastAsia="仿宋_GB2312" w:cs="Times New Roman"/>
          <w:b/>
          <w:bCs/>
          <w:color w:val="auto"/>
          <w:kern w:val="2"/>
          <w:sz w:val="24"/>
          <w:szCs w:val="24"/>
          <w:lang w:val="en-US" w:eastAsia="zh-CN" w:bidi="ar-SA"/>
        </w:rPr>
        <w:t>3.5.1.4</w:t>
      </w:r>
      <w:r>
        <w:rPr>
          <w:rFonts w:hint="eastAsia" w:ascii="Times New Roman" w:hAnsi="Times New Roman" w:eastAsia="仿宋_GB2312" w:cs="Times New Roman"/>
          <w:b/>
          <w:bCs/>
          <w:color w:val="auto"/>
          <w:kern w:val="2"/>
          <w:sz w:val="24"/>
          <w:szCs w:val="24"/>
          <w:lang w:val="zh-CN" w:eastAsia="zh-CN" w:bidi="ar-SA"/>
        </w:rPr>
        <w:t>应急演练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公司应急预案演练每年组织进行两次（企业级）演练，每次演练均进行记录，并根据演练情况进行总结，提出不足，为有效救援打下基础</w:t>
      </w:r>
      <w:bookmarkStart w:id="172" w:name="_Toc404771131"/>
      <w:r>
        <w:rPr>
          <w:rFonts w:hint="eastAsia" w:ascii="Times New Roman" w:hAnsi="Times New Roman" w:eastAsia="仿宋_GB2312" w:cs="Times New Roman"/>
          <w:color w:val="auto"/>
          <w:kern w:val="2"/>
          <w:sz w:val="24"/>
          <w:szCs w:val="24"/>
          <w:lang w:val="zh-CN"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仿宋_GB2312" w:cs="Times New Roman"/>
          <w:b/>
          <w:bCs/>
          <w:color w:val="auto"/>
          <w:kern w:val="2"/>
          <w:sz w:val="24"/>
          <w:szCs w:val="24"/>
          <w:lang w:val="zh-CN" w:eastAsia="zh-CN" w:bidi="ar-SA"/>
        </w:rPr>
      </w:pPr>
      <w:r>
        <w:rPr>
          <w:rFonts w:hint="eastAsia" w:ascii="Times New Roman" w:hAnsi="Times New Roman" w:eastAsia="仿宋_GB2312" w:cs="Times New Roman"/>
          <w:b/>
          <w:bCs/>
          <w:color w:val="auto"/>
          <w:kern w:val="2"/>
          <w:sz w:val="24"/>
          <w:szCs w:val="24"/>
          <w:lang w:val="zh-CN" w:eastAsia="zh-CN" w:bidi="ar-SA"/>
        </w:rPr>
        <w:t>应急演练回顾：</w:t>
      </w:r>
    </w:p>
    <w:p>
      <w:pPr>
        <w:autoSpaceDE w:val="0"/>
        <w:autoSpaceDN w:val="0"/>
        <w:spacing w:line="360" w:lineRule="auto"/>
        <w:ind w:firstLine="480" w:firstLineChars="200"/>
        <w:rPr>
          <w:rFonts w:eastAsia="仿宋_GB2312" w:cs="Times New Roman"/>
          <w:color w:val="FF0000"/>
          <w:lang w:val="zh-CN"/>
        </w:rPr>
      </w:pPr>
      <w:r>
        <w:rPr>
          <w:rFonts w:hint="eastAsia" w:eastAsia="仿宋_GB2312" w:cs="Times New Roman"/>
          <w:color w:val="auto"/>
          <w:lang w:val="zh-CN"/>
        </w:rPr>
        <w:t>2020年7月15日公司对《双狮（张家港）精细化工有限公司突发环境应急预案（第二版）》进行了演练，演练主题是《液氯槽车充装臂氯气泄漏应急救援演练》。</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仿宋_GB2312" w:cs="Times New Roman"/>
          <w:b/>
          <w:bCs/>
          <w:color w:val="auto"/>
          <w:kern w:val="2"/>
          <w:sz w:val="24"/>
          <w:szCs w:val="24"/>
          <w:lang w:val="zh-CN" w:eastAsia="zh-CN" w:bidi="ar-SA"/>
        </w:rPr>
      </w:pPr>
      <w:r>
        <w:rPr>
          <w:rFonts w:hint="eastAsia" w:ascii="Times New Roman" w:hAnsi="Times New Roman" w:eastAsia="仿宋_GB2312" w:cs="Times New Roman"/>
          <w:b/>
          <w:bCs/>
          <w:color w:val="auto"/>
          <w:kern w:val="2"/>
          <w:sz w:val="24"/>
          <w:szCs w:val="24"/>
          <w:lang w:val="zh-CN" w:eastAsia="zh-CN" w:bidi="ar-SA"/>
        </w:rPr>
        <w:t>应急演练总结改进：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这次演练无论从演练方案设计、程序安排、内容分配,还是从演练实际进程看，演练的组织和进行均基本成功。为公司应急管理工作积累了一定的经验,也积累了对突发事故进行救援和控制的实际经验。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虽然现场演练取得了圆满成功，但通过演练也暴露出了一些问题，如预案还存在缺乏针对性、实用性和可操作性的缺陷，具体主要反映在以下几个方面：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1、救援处置装备保障不足。如应对危险化学品事故必须采用的是橡胶手套，而公司使用的是普通布手套。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2、个人防护能力不强。从演练情况看，参演抢险人员的个人防护装备不足、个人防护意识不强，甚至有人嫌热，没穿戴手套进进去模拟抢险。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3、部分应急预案章节尚不完善。从演练方案设计、构思，到演练实际展开，均暴露出公司编制的部分预案存在不足之处（如需明确向有关单位发出请求支援的方式和内容），有待于进一步修改、补充、完善。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4、应急演练的环境针对性不强，如事故抢险结束后，未模拟向周围可能受影响的居民、单位和相关政府部门进行告知和报告，有待于进一步修改、完善。</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173" w:name="_Toc31968"/>
      <w:r>
        <w:rPr>
          <w:rFonts w:hint="eastAsia" w:ascii="Times New Roman" w:hAnsi="Times New Roman" w:eastAsia="仿宋_GB2312" w:cs="Times New Roman"/>
          <w:color w:val="auto"/>
          <w:kern w:val="2"/>
          <w:sz w:val="24"/>
          <w:szCs w:val="24"/>
          <w:lang w:val="zh-CN" w:eastAsia="zh-CN" w:bidi="ar-SA"/>
        </w:rPr>
        <w:t>3.5.2 现有应急能力评估</w:t>
      </w:r>
      <w:bookmarkEnd w:id="17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由 3.1 节的环境风险分析可知，公司生产、储运、公用工程及环保设施在运营使用过程中均可能发生泄漏、火灾、爆炸等环境风险，针对可能出现的风险，公司对环境风险源采取了监控措施，设置了应急防范措施，配备了各类应急设施、救援物资，加强对员工的应急培训和演练，因此，公司目前的应急能力能够满足应急救援的需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各监控设施、应急设施、控制装置、环保设施等运行良好，未发生过异常情况。</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174" w:name="_Toc21046"/>
      <w:r>
        <w:rPr>
          <w:rFonts w:hint="eastAsia" w:ascii="Times New Roman" w:hAnsi="Times New Roman" w:eastAsia="仿宋_GB2312" w:cs="Times New Roman"/>
          <w:color w:val="auto"/>
          <w:kern w:val="2"/>
          <w:sz w:val="24"/>
          <w:szCs w:val="24"/>
          <w:lang w:val="zh-CN" w:eastAsia="zh-CN" w:bidi="ar-SA"/>
        </w:rPr>
        <w:t>3.5.3 应急能力完善措施</w:t>
      </w:r>
      <w:bookmarkEnd w:id="17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由于各类防护设施、应急物资、救援人员等均处于动态变化过程中，因此，公司日常应对应急物资、装备进行有效的检查与维护保养，对新员工进行安全教育培训，加强应急救援培训和演练工作，确保在紧急情况下，应急装备、应急物资、应急队伍的有效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此外，加强对环境风险源的监控，应当在厂界加装氨气泄漏预警系统，并做好环境污染事件的预防工作，加强对可燃气体报警设施、火灾报警装置、视频监控系统、液位监控装置、液位计的检查、维护与保养，特别是设备设施在运行几年后，在不同程度上会出现腐蚀、老化、设备故障的情况，公司对可能出现的及已经发现的隐患应立即采取措施进行有效处理，决不能放任自流，置之不理，这样便可从源头消除和减少事故的发生，降低环境风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发生环境污染事件后，公司应立即按照事故级别进行响应，根据预设事故的处置方案，结合培训和演练的情况，按照各部门职责分工协作，妥善处置突发环境事件。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425" w:num="1"/>
          <w:docGrid w:linePitch="312" w:charSpace="5629"/>
        </w:sectPr>
      </w:pPr>
      <w:r>
        <w:rPr>
          <w:rFonts w:hint="eastAsia" w:ascii="Times New Roman" w:hAnsi="Times New Roman" w:eastAsia="仿宋_GB2312" w:cs="Times New Roman"/>
          <w:color w:val="auto"/>
          <w:kern w:val="2"/>
          <w:sz w:val="24"/>
          <w:szCs w:val="24"/>
          <w:lang w:val="zh-CN" w:eastAsia="zh-CN" w:bidi="ar-SA"/>
        </w:rPr>
        <w:t>在发生重大环境污染事件时，须立即请求外部力量的支援，做好与张家港突发环境事件应急预案的联动，日常工作中定期参加张家港突发环境事件的培训、演练，明确公司承担的应急职责，并与政府部门和其它救援单位保持联系，便于救援物资、救援人员快速到达事故现场，尽可能降低事故对环境造成的影响</w:t>
      </w:r>
      <w:bookmarkEnd w:id="172"/>
      <w:r>
        <w:rPr>
          <w:rFonts w:hint="eastAsia" w:ascii="Times New Roman" w:hAnsi="Times New Roman" w:eastAsia="仿宋_GB2312" w:cs="Times New Roman"/>
          <w:color w:val="auto"/>
          <w:kern w:val="2"/>
          <w:sz w:val="24"/>
          <w:szCs w:val="24"/>
          <w:lang w:val="zh-CN" w:eastAsia="zh-CN" w:bidi="ar-SA"/>
        </w:rPr>
        <w:t>。</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eastAsia="zh-CN" w:bidi="ar-SA"/>
        </w:rPr>
      </w:pPr>
      <w:bookmarkStart w:id="175" w:name="3.5.6 现有环保管理及监测能力"/>
      <w:bookmarkEnd w:id="175"/>
      <w:bookmarkStart w:id="176" w:name="3.5.6 现有环保管理及监测能力"/>
      <w:bookmarkEnd w:id="176"/>
      <w:bookmarkStart w:id="177" w:name="3.5.1 现有应急队伍能力"/>
      <w:bookmarkEnd w:id="177"/>
      <w:bookmarkStart w:id="178" w:name="3.5.1 现有应急队伍能力"/>
      <w:bookmarkEnd w:id="178"/>
      <w:bookmarkStart w:id="179" w:name="_Toc26151"/>
      <w:bookmarkStart w:id="180" w:name="_Toc32338"/>
      <w:r>
        <w:rPr>
          <w:rFonts w:hint="eastAsia" w:ascii="Times New Roman" w:hAnsi="Times New Roman" w:eastAsia="黑体" w:cs="Times New Roman"/>
          <w:b/>
          <w:color w:val="auto"/>
          <w:kern w:val="44"/>
          <w:sz w:val="32"/>
          <w:szCs w:val="32"/>
          <w:lang w:val="en-US" w:eastAsia="zh-CN" w:bidi="ar-SA"/>
        </w:rPr>
        <w:t>第四章 组织机构与职责</w:t>
      </w:r>
      <w:bookmarkEnd w:id="179"/>
      <w:bookmarkEnd w:id="180"/>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181" w:name="_Toc24080"/>
      <w:bookmarkStart w:id="182" w:name="_Toc436833041"/>
      <w:bookmarkStart w:id="183" w:name="_Toc29445"/>
      <w:r>
        <w:rPr>
          <w:rFonts w:hint="eastAsia" w:ascii="Times New Roman" w:hAnsi="Times New Roman" w:eastAsia="黑体" w:cs="Times New Roman"/>
          <w:color w:val="auto"/>
          <w:kern w:val="2"/>
          <w:sz w:val="28"/>
          <w:szCs w:val="28"/>
          <w:lang w:val="en-US" w:eastAsia="zh-CN" w:bidi="ar-SA"/>
        </w:rPr>
        <w:t>4.1</w:t>
      </w:r>
      <w:r>
        <w:rPr>
          <w:rFonts w:hint="eastAsia" w:ascii="Times New Roman" w:hAnsi="Times New Roman" w:eastAsia="黑体" w:cs="Times New Roman"/>
          <w:color w:val="auto"/>
          <w:kern w:val="2"/>
          <w:sz w:val="28"/>
          <w:szCs w:val="28"/>
          <w:lang w:val="zh-CN" w:eastAsia="zh-CN" w:bidi="ar-SA"/>
        </w:rPr>
        <w:t>组织体系</w:t>
      </w:r>
      <w:bookmarkEnd w:id="181"/>
      <w:bookmarkEnd w:id="18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公司应急指挥机构由总指挥、副总指挥、各应急小组及应急人员组成。应急小组包括：抢险抢修组、安全保卫组、生产技术组、物资供应组、后勤救援组、安全警戒组、环境监测组。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公司内部应急组织机构如下图所示。</w:t>
      </w:r>
    </w:p>
    <w:p>
      <w:pPr>
        <w:spacing w:line="360" w:lineRule="auto"/>
        <w:ind w:firstLine="420" w:firstLineChars="200"/>
        <w:jc w:val="center"/>
        <w:rPr>
          <w:rFonts w:hint="default" w:ascii="Times New Roman" w:hAnsi="Times New Roman" w:eastAsia="黑体" w:cs="Times New Roman"/>
          <w:b/>
          <w:bCs/>
          <w:sz w:val="21"/>
          <w:szCs w:val="21"/>
        </w:rPr>
      </w:pPr>
      <w:r>
        <w:rPr>
          <w:rFonts w:hint="default" w:ascii="Times New Roman" w:hAnsi="Times New Roman" w:eastAsia="黑体" w:cs="Times New Roman"/>
          <w:color w:val="auto"/>
          <w:kern w:val="2"/>
          <w:sz w:val="21"/>
          <w:szCs w:val="21"/>
          <w:lang w:val="zh-CN" w:eastAsia="zh-CN" w:bidi="ar-SA"/>
        </w:rPr>
        <mc:AlternateContent>
          <mc:Choice Requires="wpc">
            <w:drawing>
              <wp:anchor distT="0" distB="0" distL="114300" distR="114300" simplePos="0" relativeHeight="686457856" behindDoc="0" locked="0" layoutInCell="1" allowOverlap="1">
                <wp:simplePos x="0" y="0"/>
                <wp:positionH relativeFrom="column">
                  <wp:posOffset>83185</wp:posOffset>
                </wp:positionH>
                <wp:positionV relativeFrom="paragraph">
                  <wp:posOffset>88900</wp:posOffset>
                </wp:positionV>
                <wp:extent cx="5433060" cy="2988310"/>
                <wp:effectExtent l="0" t="0" r="0" b="0"/>
                <wp:wrapTopAndBottom/>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矩形 9"/>
                        <wps:cNvSpPr/>
                        <wps:spPr>
                          <a:xfrm>
                            <a:off x="1078230" y="76835"/>
                            <a:ext cx="3200400" cy="406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20" w:beforeLines="50" w:line="360" w:lineRule="auto"/>
                                <w:jc w:val="center"/>
                                <w:rPr>
                                  <w:rFonts w:ascii="宋体" w:hAnsi="宋体"/>
                                  <w:szCs w:val="21"/>
                                </w:rPr>
                              </w:pPr>
                              <w:r>
                                <w:rPr>
                                  <w:rFonts w:hint="eastAsia" w:ascii="宋体" w:hAnsi="宋体"/>
                                  <w:szCs w:val="21"/>
                                </w:rPr>
                                <w:t>应急总指挥</w:t>
                              </w:r>
                            </w:p>
                          </w:txbxContent>
                        </wps:txbx>
                        <wps:bodyPr upright="1"/>
                      </wps:wsp>
                      <wps:wsp>
                        <wps:cNvPr id="10" name="直接连接符 10"/>
                        <wps:cNvCnPr/>
                        <wps:spPr>
                          <a:xfrm flipH="1" flipV="1">
                            <a:off x="2668905" y="485140"/>
                            <a:ext cx="8890" cy="315595"/>
                          </a:xfrm>
                          <a:prstGeom prst="line">
                            <a:avLst/>
                          </a:prstGeom>
                          <a:ln w="9525" cap="flat" cmpd="sng">
                            <a:solidFill>
                              <a:srgbClr val="000000"/>
                            </a:solidFill>
                            <a:prstDash val="solid"/>
                            <a:headEnd type="none" w="med" len="med"/>
                            <a:tailEnd type="none" w="med" len="med"/>
                          </a:ln>
                        </wps:spPr>
                        <wps:bodyPr upright="1"/>
                      </wps:wsp>
                      <wps:wsp>
                        <wps:cNvPr id="11" name="矩形 11"/>
                        <wps:cNvSpPr/>
                        <wps:spPr>
                          <a:xfrm>
                            <a:off x="1868170" y="788670"/>
                            <a:ext cx="148653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rFonts w:ascii="宋体" w:hAnsi="宋体"/>
                                  <w:szCs w:val="21"/>
                                </w:rPr>
                              </w:pPr>
                              <w:r>
                                <w:rPr>
                                  <w:rFonts w:hint="eastAsia" w:ascii="宋体" w:hAnsi="宋体"/>
                                  <w:szCs w:val="21"/>
                                </w:rPr>
                                <w:t>应急副总指挥</w:t>
                              </w:r>
                            </w:p>
                          </w:txbxContent>
                        </wps:txbx>
                        <wps:bodyPr upright="1"/>
                      </wps:wsp>
                      <wps:wsp>
                        <wps:cNvPr id="12" name="直接连接符 12"/>
                        <wps:cNvCnPr/>
                        <wps:spPr>
                          <a:xfrm flipV="1">
                            <a:off x="2668905" y="1092835"/>
                            <a:ext cx="0" cy="292735"/>
                          </a:xfrm>
                          <a:prstGeom prst="line">
                            <a:avLst/>
                          </a:prstGeom>
                          <a:ln w="9525" cap="flat" cmpd="sng">
                            <a:solidFill>
                              <a:srgbClr val="000000"/>
                            </a:solidFill>
                            <a:prstDash val="solid"/>
                            <a:headEnd type="none" w="med" len="med"/>
                            <a:tailEnd type="none" w="med" len="med"/>
                          </a:ln>
                        </wps:spPr>
                        <wps:bodyPr upright="1"/>
                      </wps:wsp>
                      <wps:wsp>
                        <wps:cNvPr id="13" name="直接连接符 13"/>
                        <wps:cNvCnPr/>
                        <wps:spPr>
                          <a:xfrm flipV="1">
                            <a:off x="2668905" y="1086485"/>
                            <a:ext cx="635" cy="396875"/>
                          </a:xfrm>
                          <a:prstGeom prst="line">
                            <a:avLst/>
                          </a:prstGeom>
                          <a:ln w="9525" cap="flat" cmpd="sng">
                            <a:solidFill>
                              <a:srgbClr val="000000"/>
                            </a:solidFill>
                            <a:prstDash val="solid"/>
                            <a:headEnd type="none" w="med" len="med"/>
                            <a:tailEnd type="none" w="med" len="med"/>
                          </a:ln>
                        </wps:spPr>
                        <wps:bodyPr upright="1"/>
                      </wps:wsp>
                      <wps:wsp>
                        <wps:cNvPr id="14" name="直接连接符 14"/>
                        <wps:cNvCnPr/>
                        <wps:spPr>
                          <a:xfrm>
                            <a:off x="320040" y="1483360"/>
                            <a:ext cx="4511040" cy="8255"/>
                          </a:xfrm>
                          <a:prstGeom prst="line">
                            <a:avLst/>
                          </a:prstGeom>
                          <a:ln w="9525" cap="flat" cmpd="sng">
                            <a:solidFill>
                              <a:srgbClr val="000000"/>
                            </a:solidFill>
                            <a:prstDash val="solid"/>
                            <a:headEnd type="none" w="med" len="med"/>
                            <a:tailEnd type="none" w="med" len="med"/>
                          </a:ln>
                        </wps:spPr>
                        <wps:bodyPr upright="1"/>
                      </wps:wsp>
                      <wps:wsp>
                        <wps:cNvPr id="15" name="矩形 15"/>
                        <wps:cNvSpPr/>
                        <wps:spPr>
                          <a:xfrm>
                            <a:off x="922020" y="1778000"/>
                            <a:ext cx="3048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color w:val="000000"/>
                                </w:rPr>
                              </w:pPr>
                              <w:r>
                                <w:rPr>
                                  <w:rFonts w:hint="eastAsia" w:ascii="宋体" w:hAnsi="宋体"/>
                                  <w:color w:val="000000"/>
                                </w:rPr>
                                <w:t>安全保卫组</w:t>
                              </w:r>
                            </w:p>
                          </w:txbxContent>
                        </wps:txbx>
                        <wps:bodyPr upright="1"/>
                      </wps:wsp>
                      <wps:wsp>
                        <wps:cNvPr id="16" name="矩形 16"/>
                        <wps:cNvSpPr/>
                        <wps:spPr>
                          <a:xfrm>
                            <a:off x="3217545" y="1765300"/>
                            <a:ext cx="3048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后勤救援组</w:t>
                              </w:r>
                            </w:p>
                          </w:txbxContent>
                        </wps:txbx>
                        <wps:bodyPr upright="1"/>
                      </wps:wsp>
                      <wps:wsp>
                        <wps:cNvPr id="17" name="直接连接符 17"/>
                        <wps:cNvCnPr/>
                        <wps:spPr>
                          <a:xfrm flipV="1">
                            <a:off x="4145280" y="1489710"/>
                            <a:ext cx="635" cy="298450"/>
                          </a:xfrm>
                          <a:prstGeom prst="line">
                            <a:avLst/>
                          </a:prstGeom>
                          <a:ln w="9525" cap="flat" cmpd="sng">
                            <a:solidFill>
                              <a:srgbClr val="000000"/>
                            </a:solidFill>
                            <a:prstDash val="solid"/>
                            <a:headEnd type="none" w="med" len="med"/>
                            <a:tailEnd type="none" w="med" len="med"/>
                          </a:ln>
                        </wps:spPr>
                        <wps:bodyPr upright="1"/>
                      </wps:wsp>
                      <wps:wsp>
                        <wps:cNvPr id="18" name="矩形 18"/>
                        <wps:cNvSpPr/>
                        <wps:spPr>
                          <a:xfrm>
                            <a:off x="190500" y="1757680"/>
                            <a:ext cx="3048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抢险抢修组</w:t>
                              </w:r>
                            </w:p>
                          </w:txbxContent>
                        </wps:txbx>
                        <wps:bodyPr upright="1"/>
                      </wps:wsp>
                      <wps:wsp>
                        <wps:cNvPr id="19" name="直接连接符 19"/>
                        <wps:cNvCnPr/>
                        <wps:spPr>
                          <a:xfrm flipV="1">
                            <a:off x="1858645" y="1499235"/>
                            <a:ext cx="635" cy="268605"/>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3367405" y="1489075"/>
                            <a:ext cx="635" cy="268605"/>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2628900" y="1489075"/>
                            <a:ext cx="635" cy="295910"/>
                          </a:xfrm>
                          <a:prstGeom prst="line">
                            <a:avLst/>
                          </a:prstGeom>
                          <a:ln w="9525" cap="flat" cmpd="sng">
                            <a:solidFill>
                              <a:srgbClr val="000000"/>
                            </a:solidFill>
                            <a:prstDash val="solid"/>
                            <a:headEnd type="none" w="med" len="med"/>
                            <a:tailEnd type="none" w="med" len="med"/>
                          </a:ln>
                        </wps:spPr>
                        <wps:bodyPr upright="1"/>
                      </wps:wsp>
                      <wps:wsp>
                        <wps:cNvPr id="22" name="矩形 22"/>
                        <wps:cNvSpPr/>
                        <wps:spPr>
                          <a:xfrm>
                            <a:off x="4686300" y="1783080"/>
                            <a:ext cx="304800" cy="1077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环境监测</w:t>
                              </w:r>
                            </w:p>
                            <w:p>
                              <w:pPr>
                                <w:rPr>
                                  <w:rFonts w:ascii="宋体" w:hAnsi="宋体"/>
                                </w:rPr>
                              </w:pPr>
                              <w:r>
                                <w:rPr>
                                  <w:rFonts w:hint="eastAsia" w:ascii="宋体" w:hAnsi="宋体"/>
                                </w:rPr>
                                <w:t>组</w:t>
                              </w:r>
                            </w:p>
                          </w:txbxContent>
                        </wps:txbx>
                        <wps:bodyPr upright="1"/>
                      </wps:wsp>
                      <wps:wsp>
                        <wps:cNvPr id="23" name="矩形 23"/>
                        <wps:cNvSpPr/>
                        <wps:spPr>
                          <a:xfrm>
                            <a:off x="3954780" y="1785620"/>
                            <a:ext cx="304800" cy="1077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安全警戒</w:t>
                              </w:r>
                            </w:p>
                            <w:p>
                              <w:pPr>
                                <w:rPr>
                                  <w:rFonts w:ascii="宋体" w:hAnsi="宋体"/>
                                </w:rPr>
                              </w:pPr>
                              <w:r>
                                <w:rPr>
                                  <w:rFonts w:hint="eastAsia" w:ascii="宋体" w:hAnsi="宋体"/>
                                </w:rPr>
                                <w:t>组</w:t>
                              </w:r>
                            </w:p>
                          </w:txbxContent>
                        </wps:txbx>
                        <wps:bodyPr upright="1"/>
                      </wps:wsp>
                      <wps:wsp>
                        <wps:cNvPr id="24" name="矩形 24"/>
                        <wps:cNvSpPr/>
                        <wps:spPr>
                          <a:xfrm>
                            <a:off x="2468880" y="1788160"/>
                            <a:ext cx="304800" cy="1102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物资供应</w:t>
                              </w:r>
                            </w:p>
                            <w:p>
                              <w:pPr>
                                <w:rPr>
                                  <w:rFonts w:ascii="宋体" w:hAnsi="宋体"/>
                                </w:rPr>
                              </w:pPr>
                              <w:r>
                                <w:rPr>
                                  <w:rFonts w:hint="eastAsia" w:ascii="宋体" w:hAnsi="宋体"/>
                                </w:rPr>
                                <w:t>组</w:t>
                              </w:r>
                            </w:p>
                          </w:txbxContent>
                        </wps:txbx>
                        <wps:bodyPr upright="1"/>
                      </wps:wsp>
                      <wps:wsp>
                        <wps:cNvPr id="25" name="直接连接符 25"/>
                        <wps:cNvCnPr/>
                        <wps:spPr>
                          <a:xfrm flipV="1">
                            <a:off x="320040" y="1491615"/>
                            <a:ext cx="635" cy="268605"/>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4830445" y="1489710"/>
                            <a:ext cx="635" cy="293370"/>
                          </a:xfrm>
                          <a:prstGeom prst="line">
                            <a:avLst/>
                          </a:prstGeom>
                          <a:ln w="9525" cap="flat" cmpd="sng">
                            <a:solidFill>
                              <a:srgbClr val="000000"/>
                            </a:solidFill>
                            <a:prstDash val="solid"/>
                            <a:headEnd type="none" w="med" len="med"/>
                            <a:tailEnd type="none" w="med" len="med"/>
                          </a:ln>
                        </wps:spPr>
                        <wps:bodyPr upright="1"/>
                      </wps:wsp>
                      <wps:wsp>
                        <wps:cNvPr id="27" name="矩形 27"/>
                        <wps:cNvSpPr/>
                        <wps:spPr>
                          <a:xfrm>
                            <a:off x="1699260" y="1785620"/>
                            <a:ext cx="3048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color w:val="000000"/>
                                </w:rPr>
                              </w:pPr>
                              <w:r>
                                <w:rPr>
                                  <w:rFonts w:hint="eastAsia" w:ascii="宋体" w:hAnsi="宋体"/>
                                  <w:color w:val="000000"/>
                                </w:rPr>
                                <w:t>生产技术组</w:t>
                              </w:r>
                            </w:p>
                          </w:txbxContent>
                        </wps:txbx>
                        <wps:bodyPr upright="1"/>
                      </wps:wsp>
                      <wps:wsp>
                        <wps:cNvPr id="28" name="直接连接符 28"/>
                        <wps:cNvCnPr/>
                        <wps:spPr>
                          <a:xfrm flipV="1">
                            <a:off x="1085850" y="1499235"/>
                            <a:ext cx="635" cy="268605"/>
                          </a:xfrm>
                          <a:prstGeom prst="line">
                            <a:avLst/>
                          </a:prstGeom>
                          <a:ln w="952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left:6.55pt;margin-top:7pt;height:235.3pt;width:427.8pt;mso-wrap-distance-bottom:0pt;mso-wrap-distance-top:0pt;z-index:686457856;mso-width-relative:page;mso-height-relative:page;" coordsize="5433060,2988310" editas="canvas" o:gfxdata="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ASyetN2QAAAAkBAAAPAAAAAAAAAAEAIAAAACIAAABkcnMvZG93bnJldi54&#10;bWxQSwECFAAUAAAACACHTuJAMG4yZ1AFAAAwLwAADgAAAAAAAAABACAAAAAoAQAAZHJzL2Uyb0Rv&#10;Yy54bWxQSwUGAAAAAAYABgBZAQAA6ggAAAAA&#10;">
                <o:lock v:ext="edit" aspectratio="f"/>
                <v:shape id="_x0000_s1026" o:spid="_x0000_s1026" style="position:absolute;left:0;top:0;height:2988310;width:5433060;" filled="f" stroked="f" coordsize="21600,21600" o:gfxdata="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BLJ603ZAAAACQEAAA8AAAAAAAAAAQAgAAAAIgAAAGRycy9kb3ducmV2LnhtbFBL&#10;AQIUABQAAAAIAIdO4kAcrqkrEwUAAKsuAAAOAAAAAAAAAAEAIAAAACgBAABkcnMvZTJvRG9jLnht&#10;bFBLBQYAAAAABgAGAFkBAACtCAAAAAA=&#10;">
                  <v:fill on="f" focussize="0,0"/>
                  <v:stroke on="f"/>
                  <v:imagedata o:title=""/>
                  <o:lock v:ext="edit" aspectratio="t"/>
                </v:shape>
                <v:rect id="_x0000_s1026" o:spid="_x0000_s1026" o:spt="1" style="position:absolute;left:1078230;top:76835;height:406400;width:32004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sA7AtcAAAAJAQAADwAAAAAAAAABACAAAAAiAAAAZHJzL2Rvd25yZXYueG1sUEsBAhQAFAAA&#10;AAgAh07iQBdTsnbwAQAA5QMAAA4AAAAAAAAAAQAgAAAAJgEAAGRycy9lMm9Eb2MueG1sUEsFBgAA&#10;AAAGAAYAWQEAAIgFAAAAAA==&#10;">
                  <v:fill on="t" focussize="0,0"/>
                  <v:stroke color="#000000" joinstyle="miter"/>
                  <v:imagedata o:title=""/>
                  <o:lock v:ext="edit" aspectratio="f"/>
                  <v:textbox>
                    <w:txbxContent>
                      <w:p>
                        <w:pPr>
                          <w:snapToGrid w:val="0"/>
                          <w:spacing w:before="120" w:beforeLines="50" w:line="360" w:lineRule="auto"/>
                          <w:jc w:val="center"/>
                          <w:rPr>
                            <w:rFonts w:ascii="宋体" w:hAnsi="宋体"/>
                            <w:szCs w:val="21"/>
                          </w:rPr>
                        </w:pPr>
                        <w:r>
                          <w:rPr>
                            <w:rFonts w:hint="eastAsia" w:ascii="宋体" w:hAnsi="宋体"/>
                            <w:szCs w:val="21"/>
                          </w:rPr>
                          <w:t>应急总指挥</w:t>
                        </w:r>
                      </w:p>
                    </w:txbxContent>
                  </v:textbox>
                </v:rect>
                <v:line id="_x0000_s1026" o:spid="_x0000_s1026" o:spt="20" style="position:absolute;left:2668905;top:485140;flip:x y;height:315595;width:8890;" filled="f" stroked="t" coordsize="21600,21600" o:gfxdata="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8ZMe0wAAAAkBAAAPAAAAAAAAAAEAIAAAACIAAABkcnMvZG93bnJldi54bWxQSwECFAAUAAAA&#10;CACHTuJA/aB2WvMBAAC5AwAADgAAAAAAAAABACAAAAAiAQAAZHJzL2Uyb0RvYy54bWxQSwUGAAAA&#10;AAYABgBZAQAAhwUAAAAA&#10;">
                  <v:fill on="f" focussize="0,0"/>
                  <v:stroke color="#000000" joinstyle="round"/>
                  <v:imagedata o:title=""/>
                  <o:lock v:ext="edit" aspectratio="f"/>
                </v:line>
                <v:rect id="_x0000_s1026" o:spid="_x0000_s1026" o:spt="1" style="position:absolute;left:1868170;top:788670;height:293370;width:1486535;"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7AtcAAAAJAQAADwAAAAAAAAABACAAAAAiAAAAZHJzL2Rvd25yZXYueG1sUEsBAhQA&#10;FAAAAAgAh07iQAeUK2PzAQAA6AMAAA4AAAAAAAAAAQAgAAAAJgEAAGRycy9lMm9Eb2MueG1sUEsF&#10;BgAAAAAGAAYAWQEAAIsFAAAAAA==&#10;">
                  <v:fill on="t" focussize="0,0"/>
                  <v:stroke color="#000000" joinstyle="miter"/>
                  <v:imagedata o:title=""/>
                  <o:lock v:ext="edit" aspectratio="f"/>
                  <v:textbox>
                    <w:txbxContent>
                      <w:p>
                        <w:pPr>
                          <w:ind w:firstLine="360" w:firstLineChars="150"/>
                          <w:rPr>
                            <w:rFonts w:ascii="宋体" w:hAnsi="宋体"/>
                            <w:szCs w:val="21"/>
                          </w:rPr>
                        </w:pPr>
                        <w:r>
                          <w:rPr>
                            <w:rFonts w:hint="eastAsia" w:ascii="宋体" w:hAnsi="宋体"/>
                            <w:szCs w:val="21"/>
                          </w:rPr>
                          <w:t>应急副总指挥</w:t>
                        </w:r>
                      </w:p>
                    </w:txbxContent>
                  </v:textbox>
                </v:rect>
                <v:line id="_x0000_s1026" o:spid="_x0000_s1026" o:spt="20" style="position:absolute;left:2668905;top:1092835;flip:y;height:292735;width:0;"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Nm/bq1wAAAAkBAAAPAAAAAAAAAAEAIAAAACIAAABkcnMvZG93bnJldi54bWxQSwECFAAUAAAA&#10;CACHTuJALZvRIe8BAACtAwAADgAAAAAAAAABACAAAAAmAQAAZHJzL2Uyb0RvYy54bWxQSwUGAAAA&#10;AAYABgBZAQAAhwUAAAAA&#10;">
                  <v:fill on="f" focussize="0,0"/>
                  <v:stroke color="#000000" joinstyle="round"/>
                  <v:imagedata o:title=""/>
                  <o:lock v:ext="edit" aspectratio="f"/>
                </v:line>
                <v:line id="_x0000_s1026" o:spid="_x0000_s1026" o:spt="20" style="position:absolute;left:2668905;top:1086485;flip:y;height:396875;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b9urXAAAACQEAAA8AAAAAAAAAAQAgAAAAIgAAAGRycy9kb3ducmV2LnhtbFBLAQIUABQA&#10;AAAIAIdO4kAtwphW8QEAAK8DAAAOAAAAAAAAAAEAIAAAACYBAABkcnMvZTJvRG9jLnhtbFBLBQYA&#10;AAAABgAGAFkBAACJBQAAAAA=&#10;">
                  <v:fill on="f" focussize="0,0"/>
                  <v:stroke color="#000000" joinstyle="round"/>
                  <v:imagedata o:title=""/>
                  <o:lock v:ext="edit" aspectratio="f"/>
                </v:line>
                <v:line id="_x0000_s1026" o:spid="_x0000_s1026" o:spt="20" style="position:absolute;left:320040;top:1483360;height:8255;width:4511040;" filled="f" stroked="t" coordsize="21600,21600" o:gfxdata="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LzA21wAA&#10;AAkBAAAPAAAAAAAAAAEAIAAAACIAAABkcnMvZG93bnJldi54bWxQSwECFAAUAAAACACHTuJAkqZb&#10;4uYBAACmAwAADgAAAAAAAAABACAAAAAmAQAAZHJzL2Uyb0RvYy54bWxQSwUGAAAAAAYABgBZAQAA&#10;fgUAAAAA&#10;">
                  <v:fill on="f" focussize="0,0"/>
                  <v:stroke color="#000000" joinstyle="round"/>
                  <v:imagedata o:title=""/>
                  <o:lock v:ext="edit" aspectratio="f"/>
                </v:line>
                <v:rect id="_x0000_s1026" o:spid="_x0000_s1026" o:spt="1" style="position:absolute;left:922020;top:1778000;height:109537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7AtcAAAAJAQAADwAAAAAAAAABACAAAAAiAAAAZHJzL2Rvd25yZXYueG1sUEsBAhQA&#10;FAAAAAgAh07iQNk7TBnzAQAA6AMAAA4AAAAAAAAAAQAgAAAAJgEAAGRycy9lMm9Eb2MueG1sUEsF&#10;BgAAAAAGAAYAWQEAAIsFAAAAAA==&#10;">
                  <v:fill on="t" focussize="0,0"/>
                  <v:stroke color="#000000" joinstyle="miter"/>
                  <v:imagedata o:title=""/>
                  <o:lock v:ext="edit" aspectratio="f"/>
                  <v:textbox>
                    <w:txbxContent>
                      <w:p>
                        <w:pPr>
                          <w:jc w:val="center"/>
                          <w:rPr>
                            <w:rFonts w:ascii="宋体" w:hAnsi="宋体"/>
                            <w:color w:val="000000"/>
                          </w:rPr>
                        </w:pPr>
                        <w:r>
                          <w:rPr>
                            <w:rFonts w:hint="eastAsia" w:ascii="宋体" w:hAnsi="宋体"/>
                            <w:color w:val="000000"/>
                          </w:rPr>
                          <w:t>安全保卫组</w:t>
                        </w:r>
                      </w:p>
                    </w:txbxContent>
                  </v:textbox>
                </v:rect>
                <v:rect id="_x0000_s1026" o:spid="_x0000_s1026" o:spt="1" style="position:absolute;left:3217545;top:1765300;height:109537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wDsC1wAAAAkBAAAPAAAAAAAAAAEAIAAAACIAAABkcnMvZG93bnJldi54bWxQSwECFAAU&#10;AAAACACHTuJAqAR9Q/IBAADpAwAADgAAAAAAAAABACAAAAAmAQAAZHJzL2Uyb0RvYy54bWxQSwUG&#10;AAAAAAYABgBZAQAAigUAAAAA&#10;">
                  <v:fill on="t" focussize="0,0"/>
                  <v:stroke color="#000000" joinstyle="miter"/>
                  <v:imagedata o:title=""/>
                  <o:lock v:ext="edit" aspectratio="f"/>
                  <v:textbox>
                    <w:txbxContent>
                      <w:p>
                        <w:pPr>
                          <w:rPr>
                            <w:rFonts w:ascii="宋体" w:hAnsi="宋体"/>
                          </w:rPr>
                        </w:pPr>
                        <w:r>
                          <w:rPr>
                            <w:rFonts w:hint="eastAsia" w:ascii="宋体" w:hAnsi="宋体"/>
                          </w:rPr>
                          <w:t>后勤救援组</w:t>
                        </w:r>
                      </w:p>
                    </w:txbxContent>
                  </v:textbox>
                </v:rect>
                <v:line id="_x0000_s1026" o:spid="_x0000_s1026" o:spt="20" style="position:absolute;left:4145280;top:1489710;flip:y;height:298450;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m/bq1wAAAAkBAAAPAAAAAAAAAAEAIAAAACIAAABkcnMvZG93bnJldi54bWxQSwECFAAU&#10;AAAACACHTuJA+JE5D/IBAACvAwAADgAAAAAAAAABACAAAAAmAQAAZHJzL2Uyb0RvYy54bWxQSwUG&#10;AAAAAAYABgBZAQAAigUAAAAA&#10;">
                  <v:fill on="f" focussize="0,0"/>
                  <v:stroke color="#000000" joinstyle="round"/>
                  <v:imagedata o:title=""/>
                  <o:lock v:ext="edit" aspectratio="f"/>
                </v:line>
                <v:rect id="_x0000_s1026" o:spid="_x0000_s1026" o:spt="1" style="position:absolute;left:190500;top:1757680;height:109537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sA7AtcAAAAJAQAADwAAAAAAAAABACAAAAAiAAAAZHJzL2Rvd25yZXYueG1sUEsBAhQAFAAA&#10;AAgAh07iQAEOiqDwAQAA6AMAAA4AAAAAAAAAAQAgAAAAJgEAAGRycy9lMm9Eb2MueG1sUEsFBgAA&#10;AAAGAAYAWQEAAIgFAAAAAA==&#10;">
                  <v:fill on="t" focussize="0,0"/>
                  <v:stroke color="#000000" joinstyle="miter"/>
                  <v:imagedata o:title=""/>
                  <o:lock v:ext="edit" aspectratio="f"/>
                  <v:textbox>
                    <w:txbxContent>
                      <w:p>
                        <w:pPr>
                          <w:jc w:val="center"/>
                          <w:rPr>
                            <w:rFonts w:ascii="宋体" w:hAnsi="宋体"/>
                          </w:rPr>
                        </w:pPr>
                        <w:r>
                          <w:rPr>
                            <w:rFonts w:hint="eastAsia" w:ascii="宋体" w:hAnsi="宋体"/>
                          </w:rPr>
                          <w:t>抢险抢修组</w:t>
                        </w:r>
                      </w:p>
                    </w:txbxContent>
                  </v:textbox>
                </v:rect>
                <v:line id="_x0000_s1026" o:spid="_x0000_s1026" o:spt="20" style="position:absolute;left:1858645;top:1499235;flip:y;height:268605;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Zv26tcAAAAJAQAADwAAAAAAAAABACAAAAAiAAAAZHJzL2Rvd25yZXYueG1sUEsBAhQAFAAA&#10;AAgAh07iQB0MZjvwAQAArwMAAA4AAAAAAAAAAQAgAAAAJgEAAGRycy9lMm9Eb2MueG1sUEsFBgAA&#10;AAAGAAYAWQEAAIgFAAAAAA==&#10;">
                  <v:fill on="f" focussize="0,0"/>
                  <v:stroke color="#000000" joinstyle="round"/>
                  <v:imagedata o:title=""/>
                  <o:lock v:ext="edit" aspectratio="f"/>
                </v:line>
                <v:line id="_x0000_s1026" o:spid="_x0000_s1026" o:spt="20" style="position:absolute;left:3367405;top:1489075;flip:y;height:268605;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Zv26tcAAAAJAQAADwAAAAAAAAABACAAAAAiAAAAZHJzL2Rvd25yZXYueG1sUEsBAhQAFAAA&#10;AAgAh07iQB2Ix8bwAQAArwMAAA4AAAAAAAAAAQAgAAAAJgEAAGRycy9lMm9Eb2MueG1sUEsFBgAA&#10;AAAGAAYAWQEAAIgFAAAAAA==&#10;">
                  <v:fill on="f" focussize="0,0"/>
                  <v:stroke color="#000000" joinstyle="round"/>
                  <v:imagedata o:title=""/>
                  <o:lock v:ext="edit" aspectratio="f"/>
                </v:line>
                <v:line id="_x0000_s1026" o:spid="_x0000_s1026" o:spt="20" style="position:absolute;left:2628900;top:1489075;flip:y;height:295910;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b9urXAAAACQEAAA8AAAAAAAAAAQAgAAAAIgAAAGRycy9kb3ducmV2LnhtbFBLAQIUABQA&#10;AAAIAIdO4kBTUm/P8QEAAK8DAAAOAAAAAAAAAAEAIAAAACYBAABkcnMvZTJvRG9jLnhtbFBLBQYA&#10;AAAABgAGAFkBAACJBQAAAAA=&#10;">
                  <v:fill on="f" focussize="0,0"/>
                  <v:stroke color="#000000" joinstyle="round"/>
                  <v:imagedata o:title=""/>
                  <o:lock v:ext="edit" aspectratio="f"/>
                </v:line>
                <v:rect id="_x0000_s1026" o:spid="_x0000_s1026" o:spt="1" style="position:absolute;left:4686300;top:1783080;height:107759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7AtcAAAAJAQAADwAAAAAAAAABACAAAAAiAAAAZHJzL2Rvd25yZXYueG1sUEsBAhQA&#10;FAAAAAgAh07iQHSZS1PzAQAA6QMAAA4AAAAAAAAAAQAgAAAAJgEAAGRycy9lMm9Eb2MueG1sUEsF&#10;BgAAAAAGAAYAWQEAAIsFAAAAAA==&#10;">
                  <v:fill on="t" focussize="0,0"/>
                  <v:stroke color="#000000" joinstyle="miter"/>
                  <v:imagedata o:title=""/>
                  <o:lock v:ext="edit" aspectratio="f"/>
                  <v:textbox>
                    <w:txbxContent>
                      <w:p>
                        <w:pPr>
                          <w:rPr>
                            <w:rFonts w:ascii="宋体" w:hAnsi="宋体"/>
                          </w:rPr>
                        </w:pPr>
                        <w:r>
                          <w:rPr>
                            <w:rFonts w:hint="eastAsia" w:ascii="宋体" w:hAnsi="宋体"/>
                          </w:rPr>
                          <w:t>环境监测</w:t>
                        </w:r>
                      </w:p>
                      <w:p>
                        <w:pPr>
                          <w:rPr>
                            <w:rFonts w:ascii="宋体" w:hAnsi="宋体"/>
                          </w:rPr>
                        </w:pPr>
                        <w:r>
                          <w:rPr>
                            <w:rFonts w:hint="eastAsia" w:ascii="宋体" w:hAnsi="宋体"/>
                          </w:rPr>
                          <w:t>组</w:t>
                        </w:r>
                      </w:p>
                    </w:txbxContent>
                  </v:textbox>
                </v:rect>
                <v:rect id="_x0000_s1026" o:spid="_x0000_s1026" o:spt="1" style="position:absolute;left:3954780;top:1785620;height:107759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7AtcAAAAJAQAADwAAAAAAAAABACAAAAAiAAAAZHJzL2Rvd25yZXYueG1sUEsBAhQA&#10;FAAAAAgAh07iQDfh7G3zAQAA6QMAAA4AAAAAAAAAAQAgAAAAJgEAAGRycy9lMm9Eb2MueG1sUEsF&#10;BgAAAAAGAAYAWQEAAIsFAAAAAA==&#10;">
                  <v:fill on="t" focussize="0,0"/>
                  <v:stroke color="#000000" joinstyle="miter"/>
                  <v:imagedata o:title=""/>
                  <o:lock v:ext="edit" aspectratio="f"/>
                  <v:textbox>
                    <w:txbxContent>
                      <w:p>
                        <w:pPr>
                          <w:rPr>
                            <w:rFonts w:ascii="宋体" w:hAnsi="宋体"/>
                          </w:rPr>
                        </w:pPr>
                        <w:r>
                          <w:rPr>
                            <w:rFonts w:hint="eastAsia" w:ascii="宋体" w:hAnsi="宋体"/>
                          </w:rPr>
                          <w:t>安全警戒</w:t>
                        </w:r>
                      </w:p>
                      <w:p>
                        <w:pPr>
                          <w:rPr>
                            <w:rFonts w:ascii="宋体" w:hAnsi="宋体"/>
                          </w:rPr>
                        </w:pPr>
                        <w:r>
                          <w:rPr>
                            <w:rFonts w:hint="eastAsia" w:ascii="宋体" w:hAnsi="宋体"/>
                          </w:rPr>
                          <w:t>组</w:t>
                        </w:r>
                      </w:p>
                    </w:txbxContent>
                  </v:textbox>
                </v:rect>
                <v:rect id="_x0000_s1026" o:spid="_x0000_s1026" o:spt="1" style="position:absolute;left:2468880;top:1788160;height:110299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7AtcAAAAJAQAADwAAAAAAAAABACAAAAAiAAAAZHJzL2Rvd25yZXYueG1sUEsBAhQA&#10;FAAAAAgAh07iQGP7e4LzAQAA6QMAAA4AAAAAAAAAAQAgAAAAJgEAAGRycy9lMm9Eb2MueG1sUEsF&#10;BgAAAAAGAAYAWQEAAIsFAAAAAA==&#10;">
                  <v:fill on="t" focussize="0,0"/>
                  <v:stroke color="#000000" joinstyle="miter"/>
                  <v:imagedata o:title=""/>
                  <o:lock v:ext="edit" aspectratio="f"/>
                  <v:textbox>
                    <w:txbxContent>
                      <w:p>
                        <w:pPr>
                          <w:rPr>
                            <w:rFonts w:ascii="宋体" w:hAnsi="宋体"/>
                          </w:rPr>
                        </w:pPr>
                        <w:r>
                          <w:rPr>
                            <w:rFonts w:hint="eastAsia" w:ascii="宋体" w:hAnsi="宋体"/>
                          </w:rPr>
                          <w:t>物资供应</w:t>
                        </w:r>
                      </w:p>
                      <w:p>
                        <w:pPr>
                          <w:rPr>
                            <w:rFonts w:ascii="宋体" w:hAnsi="宋体"/>
                          </w:rPr>
                        </w:pPr>
                        <w:r>
                          <w:rPr>
                            <w:rFonts w:hint="eastAsia" w:ascii="宋体" w:hAnsi="宋体"/>
                          </w:rPr>
                          <w:t>组</w:t>
                        </w:r>
                      </w:p>
                    </w:txbxContent>
                  </v:textbox>
                </v:rect>
                <v:line id="_x0000_s1026" o:spid="_x0000_s1026" o:spt="20" style="position:absolute;left:320040;top:1491615;flip:y;height:268605;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b9urXAAAACQEAAA8AAAAAAAAAAQAgAAAAIgAAAGRycy9kb3ducmV2LnhtbFBLAQIUABQA&#10;AAAIAIdO4kAJYFde8QEAAK4DAAAOAAAAAAAAAAEAIAAAACYBAABkcnMvZTJvRG9jLnhtbFBLBQYA&#10;AAAABgAGAFkBAACJBQAAAAA=&#10;">
                  <v:fill on="f" focussize="0,0"/>
                  <v:stroke color="#000000" joinstyle="round"/>
                  <v:imagedata o:title=""/>
                  <o:lock v:ext="edit" aspectratio="f"/>
                </v:line>
                <v:line id="_x0000_s1026" o:spid="_x0000_s1026" o:spt="20" style="position:absolute;left:4830445;top:1489710;flip:y;height:293370;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m/bq1wAAAAkBAAAPAAAAAAAAAAEAIAAAACIAAABkcnMvZG93bnJldi54bWxQSwECFAAU&#10;AAAACACHTuJA3FbOqvIBAACvAwAADgAAAAAAAAABACAAAAAmAQAAZHJzL2Uyb0RvYy54bWxQSwUG&#10;AAAAAAYABgBZAQAAigUAAAAA&#10;">
                  <v:fill on="f" focussize="0,0"/>
                  <v:stroke color="#000000" joinstyle="round"/>
                  <v:imagedata o:title=""/>
                  <o:lock v:ext="edit" aspectratio="f"/>
                </v:line>
                <v:rect id="_x0000_s1026" o:spid="_x0000_s1026" o:spt="1" style="position:absolute;left:1699260;top:1785620;height:1095375;width:304800;" fillcolor="#FFFFFF" filled="t" stroked="t" coordsize="21600,21600" o:gfxdata="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wDsC1wAAAAkBAAAPAAAAAAAAAAEAIAAAACIAAABkcnMvZG93bnJldi54bWxQSwECFAAU&#10;AAAACACHTuJAwKmsKvIBAADpAwAADgAAAAAAAAABACAAAAAmAQAAZHJzL2Uyb0RvYy54bWxQSwUG&#10;AAAAAAYABgBZAQAAigUAAAAA&#10;">
                  <v:fill on="t" focussize="0,0"/>
                  <v:stroke color="#000000" joinstyle="miter"/>
                  <v:imagedata o:title=""/>
                  <o:lock v:ext="edit" aspectratio="f"/>
                  <v:textbox>
                    <w:txbxContent>
                      <w:p>
                        <w:pPr>
                          <w:jc w:val="center"/>
                          <w:rPr>
                            <w:rFonts w:ascii="宋体" w:hAnsi="宋体"/>
                            <w:color w:val="000000"/>
                          </w:rPr>
                        </w:pPr>
                        <w:r>
                          <w:rPr>
                            <w:rFonts w:hint="eastAsia" w:ascii="宋体" w:hAnsi="宋体"/>
                            <w:color w:val="000000"/>
                          </w:rPr>
                          <w:t>生产技术组</w:t>
                        </w:r>
                      </w:p>
                    </w:txbxContent>
                  </v:textbox>
                </v:rect>
                <v:line id="_x0000_s1026" o:spid="_x0000_s1026" o:spt="20" style="position:absolute;left:1085850;top:1499235;flip:y;height:268605;width:635;" filled="f" stroked="t" coordsize="21600,21600" o:gfxdata="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Nm/bq1wAAAAkBAAAPAAAAAAAAAAEAIAAAACIAAABkcnMvZG93bnJldi54bWxQSwECFAAUAAAA&#10;CACHTuJADP3nHe8BAACvAwAADgAAAAAAAAABACAAAAAmAQAAZHJzL2Uyb0RvYy54bWxQSwUGAAAA&#10;AAYABgBZAQAAhwUAAAAA&#10;">
                  <v:fill on="f" focussize="0,0"/>
                  <v:stroke color="#000000" joinstyle="round"/>
                  <v:imagedata o:title=""/>
                  <o:lock v:ext="edit" aspectratio="f"/>
                </v:line>
                <w10:wrap type="topAndBottom"/>
              </v:group>
            </w:pict>
          </mc:Fallback>
        </mc:AlternateContent>
      </w:r>
      <w:r>
        <w:rPr>
          <w:rFonts w:hint="default" w:ascii="Times New Roman" w:hAnsi="Times New Roman" w:eastAsia="黑体" w:cs="Times New Roman"/>
          <w:b/>
          <w:bCs/>
          <w:sz w:val="21"/>
          <w:szCs w:val="21"/>
        </w:rPr>
        <w:t>图4.1    应急救援组织机构图</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84" w:name="_Toc6482"/>
      <w:bookmarkStart w:id="185" w:name="_Toc436833042"/>
      <w:r>
        <w:rPr>
          <w:rFonts w:hint="eastAsia" w:ascii="Times New Roman" w:hAnsi="Times New Roman" w:eastAsia="黑体" w:cs="Times New Roman"/>
          <w:color w:val="auto"/>
          <w:kern w:val="2"/>
          <w:sz w:val="28"/>
          <w:szCs w:val="28"/>
          <w:lang w:val="en-US" w:eastAsia="zh-CN" w:bidi="ar-SA"/>
        </w:rPr>
        <w:t>4.2指挥机构组成及职责</w:t>
      </w:r>
      <w:bookmarkEnd w:id="184"/>
      <w:bookmarkEnd w:id="185"/>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186" w:name="_Toc1038"/>
      <w:r>
        <w:rPr>
          <w:rFonts w:hint="eastAsia" w:ascii="Times New Roman" w:hAnsi="Times New Roman" w:eastAsia="仿宋_GB2312" w:cs="Times New Roman"/>
          <w:color w:val="auto"/>
          <w:kern w:val="2"/>
          <w:sz w:val="24"/>
          <w:szCs w:val="24"/>
          <w:lang w:val="zh-CN" w:eastAsia="zh-CN" w:bidi="ar-SA"/>
        </w:rPr>
        <w:t>4.2.1 指挥机构组成</w:t>
      </w:r>
      <w:bookmarkEnd w:id="18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根据事件的性质、危害程度和风向等因素，确定应急指挥办公室的位置。应急指挥部设在生产中心办公楼的监控中心，现场指挥部根据事故现场实际情况设置在便与观察、便与指挥、安全的场所。</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总指挥：徐建荣（董事长）</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副总指挥：袁亚飞（总经理）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成员：各组负责人见下表：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24小时应急办公室电话： 58726985、58726986；58726919（一号门）、58726959（三号门）</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表4-1 应急救援领导班子组成情况</w:t>
      </w:r>
    </w:p>
    <w:tbl>
      <w:tblPr>
        <w:tblStyle w:val="36"/>
        <w:tblW w:w="9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32"/>
        <w:gridCol w:w="1039"/>
        <w:gridCol w:w="2354"/>
        <w:gridCol w:w="2159"/>
        <w:gridCol w:w="1378"/>
        <w:gridCol w:w="1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732" w:type="dxa"/>
            <w:tcBorders>
              <w:tl2br w:val="nil"/>
              <w:tr2bl w:val="nil"/>
            </w:tcBorders>
            <w:noWrap/>
            <w:vAlign w:val="center"/>
          </w:tcPr>
          <w:p>
            <w:pPr>
              <w:jc w:val="center"/>
              <w:rPr>
                <w:rFonts w:eastAsia="仿宋"/>
                <w:b/>
              </w:rPr>
            </w:pPr>
            <w:r>
              <w:rPr>
                <w:rFonts w:eastAsia="仿宋"/>
                <w:b/>
              </w:rPr>
              <w:t>序号</w:t>
            </w:r>
          </w:p>
        </w:tc>
        <w:tc>
          <w:tcPr>
            <w:tcW w:w="1039" w:type="dxa"/>
            <w:tcBorders>
              <w:tl2br w:val="nil"/>
              <w:tr2bl w:val="nil"/>
            </w:tcBorders>
            <w:noWrap/>
            <w:vAlign w:val="center"/>
          </w:tcPr>
          <w:p>
            <w:pPr>
              <w:jc w:val="center"/>
              <w:rPr>
                <w:rFonts w:eastAsia="仿宋"/>
                <w:b/>
                <w:highlight w:val="yellow"/>
              </w:rPr>
            </w:pPr>
            <w:r>
              <w:rPr>
                <w:rFonts w:eastAsia="仿宋"/>
                <w:b/>
              </w:rPr>
              <w:t>姓名</w:t>
            </w:r>
          </w:p>
        </w:tc>
        <w:tc>
          <w:tcPr>
            <w:tcW w:w="2354" w:type="dxa"/>
            <w:tcBorders>
              <w:tl2br w:val="nil"/>
              <w:tr2bl w:val="nil"/>
            </w:tcBorders>
            <w:noWrap/>
            <w:vAlign w:val="center"/>
          </w:tcPr>
          <w:p>
            <w:pPr>
              <w:jc w:val="center"/>
              <w:rPr>
                <w:rFonts w:eastAsia="仿宋"/>
                <w:b/>
              </w:rPr>
            </w:pPr>
            <w:r>
              <w:rPr>
                <w:rFonts w:eastAsia="仿宋"/>
                <w:b/>
              </w:rPr>
              <w:t>职责</w:t>
            </w:r>
          </w:p>
        </w:tc>
        <w:tc>
          <w:tcPr>
            <w:tcW w:w="2159" w:type="dxa"/>
            <w:tcBorders>
              <w:tl2br w:val="nil"/>
              <w:tr2bl w:val="nil"/>
            </w:tcBorders>
            <w:noWrap/>
            <w:vAlign w:val="center"/>
          </w:tcPr>
          <w:p>
            <w:pPr>
              <w:jc w:val="center"/>
              <w:rPr>
                <w:rFonts w:eastAsia="仿宋"/>
                <w:b/>
              </w:rPr>
            </w:pPr>
            <w:r>
              <w:rPr>
                <w:rFonts w:eastAsia="仿宋"/>
                <w:b/>
              </w:rPr>
              <w:t>厂内职务</w:t>
            </w:r>
          </w:p>
        </w:tc>
        <w:tc>
          <w:tcPr>
            <w:tcW w:w="1378" w:type="dxa"/>
            <w:tcBorders>
              <w:tl2br w:val="nil"/>
              <w:tr2bl w:val="nil"/>
            </w:tcBorders>
            <w:noWrap/>
            <w:vAlign w:val="center"/>
          </w:tcPr>
          <w:p>
            <w:pPr>
              <w:jc w:val="center"/>
              <w:rPr>
                <w:rFonts w:eastAsia="仿宋"/>
                <w:b/>
                <w:highlight w:val="yellow"/>
              </w:rPr>
            </w:pPr>
            <w:r>
              <w:rPr>
                <w:rFonts w:eastAsia="仿宋"/>
                <w:b/>
              </w:rPr>
              <w:t>办公电话</w:t>
            </w:r>
          </w:p>
        </w:tc>
        <w:tc>
          <w:tcPr>
            <w:tcW w:w="1861" w:type="dxa"/>
            <w:tcBorders>
              <w:tl2br w:val="nil"/>
              <w:tr2bl w:val="nil"/>
            </w:tcBorders>
            <w:noWrap/>
            <w:vAlign w:val="center"/>
          </w:tcPr>
          <w:p>
            <w:pPr>
              <w:jc w:val="center"/>
              <w:rPr>
                <w:rFonts w:eastAsia="仿宋"/>
                <w:b/>
              </w:rPr>
            </w:pPr>
            <w:r>
              <w:rPr>
                <w:rFonts w:eastAsia="仿宋"/>
                <w:b/>
              </w:rPr>
              <w:t>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1</w:t>
            </w:r>
          </w:p>
        </w:tc>
        <w:tc>
          <w:tcPr>
            <w:tcW w:w="1039" w:type="dxa"/>
            <w:tcBorders>
              <w:tl2br w:val="nil"/>
              <w:tr2bl w:val="nil"/>
            </w:tcBorders>
            <w:noWrap/>
            <w:vAlign w:val="center"/>
          </w:tcPr>
          <w:p>
            <w:pPr>
              <w:jc w:val="center"/>
              <w:rPr>
                <w:rFonts w:eastAsia="仿宋"/>
              </w:rPr>
            </w:pPr>
            <w:r>
              <w:rPr>
                <w:rFonts w:eastAsia="仿宋"/>
              </w:rPr>
              <w:t>徐建荣</w:t>
            </w:r>
          </w:p>
        </w:tc>
        <w:tc>
          <w:tcPr>
            <w:tcW w:w="2354" w:type="dxa"/>
            <w:tcBorders>
              <w:tl2br w:val="nil"/>
              <w:tr2bl w:val="nil"/>
            </w:tcBorders>
            <w:noWrap/>
            <w:vAlign w:val="center"/>
          </w:tcPr>
          <w:p>
            <w:pPr>
              <w:jc w:val="center"/>
              <w:rPr>
                <w:rFonts w:eastAsia="仿宋"/>
              </w:rPr>
            </w:pPr>
            <w:r>
              <w:rPr>
                <w:rFonts w:eastAsia="仿宋"/>
              </w:rPr>
              <w:t>总指挥</w:t>
            </w:r>
          </w:p>
        </w:tc>
        <w:tc>
          <w:tcPr>
            <w:tcW w:w="2159" w:type="dxa"/>
            <w:tcBorders>
              <w:tl2br w:val="nil"/>
              <w:tr2bl w:val="nil"/>
            </w:tcBorders>
            <w:noWrap/>
            <w:vAlign w:val="center"/>
          </w:tcPr>
          <w:p>
            <w:pPr>
              <w:jc w:val="center"/>
              <w:rPr>
                <w:rFonts w:eastAsia="仿宋"/>
              </w:rPr>
            </w:pPr>
            <w:r>
              <w:rPr>
                <w:rFonts w:eastAsia="仿宋"/>
              </w:rPr>
              <w:t>董事长</w:t>
            </w:r>
          </w:p>
        </w:tc>
        <w:tc>
          <w:tcPr>
            <w:tcW w:w="1378" w:type="dxa"/>
            <w:tcBorders>
              <w:tl2br w:val="nil"/>
              <w:tr2bl w:val="nil"/>
            </w:tcBorders>
            <w:noWrap/>
            <w:vAlign w:val="center"/>
          </w:tcPr>
          <w:p>
            <w:pPr>
              <w:jc w:val="center"/>
              <w:rPr>
                <w:rFonts w:eastAsia="仿宋"/>
              </w:rPr>
            </w:pPr>
            <w:r>
              <w:rPr>
                <w:rFonts w:hint="eastAsia" w:eastAsia="仿宋"/>
              </w:rPr>
              <w:t>58726928</w:t>
            </w:r>
          </w:p>
        </w:tc>
        <w:tc>
          <w:tcPr>
            <w:tcW w:w="1861" w:type="dxa"/>
            <w:tcBorders>
              <w:tl2br w:val="nil"/>
              <w:tr2bl w:val="nil"/>
            </w:tcBorders>
            <w:noWrap/>
            <w:vAlign w:val="center"/>
          </w:tcPr>
          <w:p>
            <w:pPr>
              <w:jc w:val="center"/>
              <w:rPr>
                <w:rFonts w:eastAsia="仿宋"/>
              </w:rPr>
            </w:pPr>
            <w:r>
              <w:rPr>
                <w:rFonts w:hint="eastAsia" w:eastAsia="仿宋"/>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2</w:t>
            </w:r>
          </w:p>
        </w:tc>
        <w:tc>
          <w:tcPr>
            <w:tcW w:w="1039" w:type="dxa"/>
            <w:tcBorders>
              <w:tl2br w:val="nil"/>
              <w:tr2bl w:val="nil"/>
            </w:tcBorders>
            <w:noWrap/>
            <w:vAlign w:val="center"/>
          </w:tcPr>
          <w:p>
            <w:pPr>
              <w:jc w:val="center"/>
              <w:rPr>
                <w:rFonts w:eastAsia="仿宋"/>
              </w:rPr>
            </w:pPr>
            <w:r>
              <w:rPr>
                <w:rFonts w:eastAsia="仿宋"/>
              </w:rPr>
              <w:t>袁亚飞</w:t>
            </w:r>
          </w:p>
        </w:tc>
        <w:tc>
          <w:tcPr>
            <w:tcW w:w="2354" w:type="dxa"/>
            <w:tcBorders>
              <w:tl2br w:val="nil"/>
              <w:tr2bl w:val="nil"/>
            </w:tcBorders>
            <w:noWrap/>
            <w:vAlign w:val="center"/>
          </w:tcPr>
          <w:p>
            <w:pPr>
              <w:jc w:val="center"/>
              <w:rPr>
                <w:rFonts w:eastAsia="仿宋"/>
              </w:rPr>
            </w:pPr>
            <w:r>
              <w:rPr>
                <w:rFonts w:eastAsia="仿宋"/>
              </w:rPr>
              <w:t>副总指挥</w:t>
            </w:r>
          </w:p>
        </w:tc>
        <w:tc>
          <w:tcPr>
            <w:tcW w:w="2159" w:type="dxa"/>
            <w:tcBorders>
              <w:tl2br w:val="nil"/>
              <w:tr2bl w:val="nil"/>
            </w:tcBorders>
            <w:noWrap/>
            <w:vAlign w:val="center"/>
          </w:tcPr>
          <w:p>
            <w:pPr>
              <w:jc w:val="center"/>
              <w:rPr>
                <w:rFonts w:eastAsia="仿宋"/>
              </w:rPr>
            </w:pPr>
            <w:r>
              <w:rPr>
                <w:rFonts w:eastAsia="仿宋"/>
              </w:rPr>
              <w:t>总经理</w:t>
            </w:r>
          </w:p>
        </w:tc>
        <w:tc>
          <w:tcPr>
            <w:tcW w:w="1378" w:type="dxa"/>
            <w:tcBorders>
              <w:tl2br w:val="nil"/>
              <w:tr2bl w:val="nil"/>
            </w:tcBorders>
            <w:noWrap/>
            <w:vAlign w:val="center"/>
          </w:tcPr>
          <w:p>
            <w:pPr>
              <w:jc w:val="center"/>
              <w:rPr>
                <w:rFonts w:eastAsia="仿宋"/>
              </w:rPr>
            </w:pPr>
            <w:r>
              <w:rPr>
                <w:rFonts w:eastAsia="仿宋"/>
              </w:rPr>
              <w:t>58726908</w:t>
            </w:r>
          </w:p>
        </w:tc>
        <w:tc>
          <w:tcPr>
            <w:tcW w:w="1861" w:type="dxa"/>
            <w:tcBorders>
              <w:tl2br w:val="nil"/>
              <w:tr2bl w:val="nil"/>
            </w:tcBorders>
            <w:noWrap/>
            <w:vAlign w:val="center"/>
          </w:tcPr>
          <w:p>
            <w:pPr>
              <w:jc w:val="center"/>
              <w:rPr>
                <w:rFonts w:eastAsia="仿宋"/>
              </w:rPr>
            </w:pPr>
            <w:r>
              <w:rPr>
                <w:rFonts w:eastAsia="仿宋"/>
              </w:rPr>
              <w:t>18962283818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3</w:t>
            </w:r>
          </w:p>
        </w:tc>
        <w:tc>
          <w:tcPr>
            <w:tcW w:w="1039" w:type="dxa"/>
            <w:tcBorders>
              <w:tl2br w:val="nil"/>
              <w:tr2bl w:val="nil"/>
            </w:tcBorders>
            <w:noWrap/>
            <w:vAlign w:val="center"/>
          </w:tcPr>
          <w:p>
            <w:pPr>
              <w:jc w:val="center"/>
              <w:rPr>
                <w:rFonts w:eastAsia="仿宋"/>
              </w:rPr>
            </w:pPr>
            <w:r>
              <w:rPr>
                <w:rFonts w:eastAsia="仿宋"/>
              </w:rPr>
              <w:t>章永林</w:t>
            </w:r>
          </w:p>
        </w:tc>
        <w:tc>
          <w:tcPr>
            <w:tcW w:w="2354" w:type="dxa"/>
            <w:tcBorders>
              <w:tl2br w:val="nil"/>
              <w:tr2bl w:val="nil"/>
            </w:tcBorders>
            <w:noWrap/>
            <w:vAlign w:val="center"/>
          </w:tcPr>
          <w:p>
            <w:pPr>
              <w:jc w:val="center"/>
              <w:rPr>
                <w:rFonts w:eastAsia="仿宋"/>
              </w:rPr>
            </w:pPr>
            <w:r>
              <w:rPr>
                <w:rFonts w:eastAsia="仿宋"/>
              </w:rPr>
              <w:t>抢险抢修组一队组长</w:t>
            </w:r>
          </w:p>
        </w:tc>
        <w:tc>
          <w:tcPr>
            <w:tcW w:w="2159" w:type="dxa"/>
            <w:tcBorders>
              <w:tl2br w:val="nil"/>
              <w:tr2bl w:val="nil"/>
            </w:tcBorders>
            <w:noWrap/>
            <w:vAlign w:val="center"/>
          </w:tcPr>
          <w:p>
            <w:pPr>
              <w:jc w:val="center"/>
              <w:rPr>
                <w:rFonts w:eastAsia="仿宋"/>
              </w:rPr>
            </w:pPr>
            <w:r>
              <w:rPr>
                <w:rFonts w:eastAsia="仿宋"/>
              </w:rPr>
              <w:t>生产部部长助理</w:t>
            </w:r>
          </w:p>
        </w:tc>
        <w:tc>
          <w:tcPr>
            <w:tcW w:w="1378" w:type="dxa"/>
            <w:tcBorders>
              <w:tl2br w:val="nil"/>
              <w:tr2bl w:val="nil"/>
            </w:tcBorders>
            <w:noWrap/>
            <w:vAlign w:val="center"/>
          </w:tcPr>
          <w:p>
            <w:pPr>
              <w:jc w:val="center"/>
              <w:rPr>
                <w:rFonts w:eastAsia="仿宋"/>
                <w:sz w:val="22"/>
              </w:rPr>
            </w:pPr>
            <w:r>
              <w:rPr>
                <w:rFonts w:eastAsia="仿宋"/>
                <w:sz w:val="22"/>
              </w:rPr>
              <w:t>58726977</w:t>
            </w:r>
          </w:p>
        </w:tc>
        <w:tc>
          <w:tcPr>
            <w:tcW w:w="1861" w:type="dxa"/>
            <w:tcBorders>
              <w:tl2br w:val="nil"/>
              <w:tr2bl w:val="nil"/>
            </w:tcBorders>
            <w:noWrap/>
            <w:vAlign w:val="center"/>
          </w:tcPr>
          <w:p>
            <w:pPr>
              <w:jc w:val="center"/>
              <w:rPr>
                <w:rFonts w:eastAsia="仿宋"/>
                <w:sz w:val="22"/>
              </w:rPr>
            </w:pPr>
            <w:r>
              <w:rPr>
                <w:rFonts w:eastAsia="仿宋"/>
                <w:sz w:val="22"/>
              </w:rPr>
              <w:t>18962283810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4</w:t>
            </w:r>
          </w:p>
        </w:tc>
        <w:tc>
          <w:tcPr>
            <w:tcW w:w="1039" w:type="dxa"/>
            <w:tcBorders>
              <w:tl2br w:val="nil"/>
              <w:tr2bl w:val="nil"/>
            </w:tcBorders>
            <w:noWrap/>
            <w:vAlign w:val="center"/>
          </w:tcPr>
          <w:p>
            <w:pPr>
              <w:jc w:val="center"/>
              <w:rPr>
                <w:rFonts w:eastAsia="仿宋"/>
              </w:rPr>
            </w:pPr>
            <w:r>
              <w:rPr>
                <w:rFonts w:eastAsia="仿宋"/>
              </w:rPr>
              <w:t>胡善良</w:t>
            </w:r>
          </w:p>
        </w:tc>
        <w:tc>
          <w:tcPr>
            <w:tcW w:w="2354" w:type="dxa"/>
            <w:tcBorders>
              <w:tl2br w:val="nil"/>
              <w:tr2bl w:val="nil"/>
            </w:tcBorders>
            <w:noWrap/>
            <w:vAlign w:val="center"/>
          </w:tcPr>
          <w:p>
            <w:pPr>
              <w:jc w:val="center"/>
              <w:rPr>
                <w:rFonts w:eastAsia="仿宋"/>
              </w:rPr>
            </w:pPr>
            <w:r>
              <w:rPr>
                <w:rFonts w:eastAsia="仿宋"/>
              </w:rPr>
              <w:t>抢险抢修组二队组长</w:t>
            </w:r>
          </w:p>
        </w:tc>
        <w:tc>
          <w:tcPr>
            <w:tcW w:w="2159" w:type="dxa"/>
            <w:tcBorders>
              <w:tl2br w:val="nil"/>
              <w:tr2bl w:val="nil"/>
            </w:tcBorders>
            <w:noWrap/>
            <w:vAlign w:val="center"/>
          </w:tcPr>
          <w:p>
            <w:pPr>
              <w:jc w:val="center"/>
              <w:rPr>
                <w:rFonts w:eastAsia="仿宋"/>
              </w:rPr>
            </w:pPr>
            <w:r>
              <w:rPr>
                <w:rFonts w:eastAsia="仿宋"/>
              </w:rPr>
              <w:t>生产部部长助理</w:t>
            </w:r>
          </w:p>
        </w:tc>
        <w:tc>
          <w:tcPr>
            <w:tcW w:w="1378" w:type="dxa"/>
            <w:tcBorders>
              <w:tl2br w:val="nil"/>
              <w:tr2bl w:val="nil"/>
            </w:tcBorders>
            <w:noWrap/>
            <w:vAlign w:val="center"/>
          </w:tcPr>
          <w:p>
            <w:pPr>
              <w:jc w:val="center"/>
              <w:rPr>
                <w:rFonts w:eastAsia="仿宋"/>
              </w:rPr>
            </w:pPr>
            <w:r>
              <w:rPr>
                <w:rFonts w:eastAsia="仿宋"/>
              </w:rPr>
              <w:t>/</w:t>
            </w:r>
          </w:p>
        </w:tc>
        <w:tc>
          <w:tcPr>
            <w:tcW w:w="1861" w:type="dxa"/>
            <w:tcBorders>
              <w:tl2br w:val="nil"/>
              <w:tr2bl w:val="nil"/>
            </w:tcBorders>
            <w:noWrap/>
            <w:vAlign w:val="center"/>
          </w:tcPr>
          <w:p>
            <w:pPr>
              <w:jc w:val="center"/>
              <w:rPr>
                <w:rFonts w:eastAsia="仿宋"/>
              </w:rPr>
            </w:pPr>
            <w:r>
              <w:rPr>
                <w:rFonts w:eastAsia="仿宋"/>
                <w:sz w:val="22"/>
              </w:rPr>
              <w:t>18962283811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5</w:t>
            </w:r>
          </w:p>
        </w:tc>
        <w:tc>
          <w:tcPr>
            <w:tcW w:w="1039" w:type="dxa"/>
            <w:tcBorders>
              <w:tl2br w:val="nil"/>
              <w:tr2bl w:val="nil"/>
            </w:tcBorders>
            <w:noWrap/>
            <w:vAlign w:val="center"/>
          </w:tcPr>
          <w:p>
            <w:pPr>
              <w:jc w:val="center"/>
              <w:rPr>
                <w:rFonts w:eastAsia="仿宋"/>
              </w:rPr>
            </w:pPr>
            <w:r>
              <w:rPr>
                <w:rFonts w:eastAsia="仿宋"/>
              </w:rPr>
              <w:t>张衞</w:t>
            </w:r>
          </w:p>
        </w:tc>
        <w:tc>
          <w:tcPr>
            <w:tcW w:w="2354" w:type="dxa"/>
            <w:tcBorders>
              <w:tl2br w:val="nil"/>
              <w:tr2bl w:val="nil"/>
            </w:tcBorders>
            <w:noWrap/>
            <w:vAlign w:val="center"/>
          </w:tcPr>
          <w:p>
            <w:pPr>
              <w:jc w:val="center"/>
              <w:rPr>
                <w:rFonts w:eastAsia="仿宋"/>
              </w:rPr>
            </w:pPr>
            <w:r>
              <w:rPr>
                <w:rFonts w:eastAsia="仿宋"/>
              </w:rPr>
              <w:t>抢险抢修组三队组长</w:t>
            </w:r>
          </w:p>
        </w:tc>
        <w:tc>
          <w:tcPr>
            <w:tcW w:w="2159" w:type="dxa"/>
            <w:tcBorders>
              <w:tl2br w:val="nil"/>
              <w:tr2bl w:val="nil"/>
            </w:tcBorders>
            <w:noWrap/>
            <w:vAlign w:val="center"/>
          </w:tcPr>
          <w:p>
            <w:pPr>
              <w:jc w:val="center"/>
              <w:rPr>
                <w:rFonts w:eastAsia="仿宋"/>
              </w:rPr>
            </w:pPr>
            <w:r>
              <w:rPr>
                <w:rFonts w:eastAsia="仿宋"/>
              </w:rPr>
              <w:t>物流部部长助理</w:t>
            </w:r>
          </w:p>
        </w:tc>
        <w:tc>
          <w:tcPr>
            <w:tcW w:w="1378" w:type="dxa"/>
            <w:tcBorders>
              <w:tl2br w:val="nil"/>
              <w:tr2bl w:val="nil"/>
            </w:tcBorders>
            <w:noWrap/>
            <w:vAlign w:val="center"/>
          </w:tcPr>
          <w:p>
            <w:pPr>
              <w:jc w:val="center"/>
              <w:rPr>
                <w:rFonts w:eastAsia="仿宋"/>
                <w:sz w:val="22"/>
              </w:rPr>
            </w:pPr>
            <w:r>
              <w:rPr>
                <w:rFonts w:eastAsia="仿宋"/>
                <w:sz w:val="22"/>
              </w:rPr>
              <w:t>58727331</w:t>
            </w:r>
          </w:p>
        </w:tc>
        <w:tc>
          <w:tcPr>
            <w:tcW w:w="1861" w:type="dxa"/>
            <w:tcBorders>
              <w:tl2br w:val="nil"/>
              <w:tr2bl w:val="nil"/>
            </w:tcBorders>
            <w:noWrap/>
            <w:vAlign w:val="center"/>
          </w:tcPr>
          <w:p>
            <w:pPr>
              <w:jc w:val="center"/>
              <w:rPr>
                <w:rFonts w:eastAsia="仿宋"/>
                <w:sz w:val="22"/>
              </w:rPr>
            </w:pPr>
            <w:r>
              <w:rPr>
                <w:rFonts w:eastAsia="仿宋"/>
                <w:sz w:val="22"/>
              </w:rPr>
              <w:t>18962283803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6</w:t>
            </w:r>
          </w:p>
        </w:tc>
        <w:tc>
          <w:tcPr>
            <w:tcW w:w="1039" w:type="dxa"/>
            <w:tcBorders>
              <w:tl2br w:val="nil"/>
              <w:tr2bl w:val="nil"/>
            </w:tcBorders>
            <w:noWrap/>
            <w:vAlign w:val="center"/>
          </w:tcPr>
          <w:p>
            <w:pPr>
              <w:jc w:val="center"/>
              <w:rPr>
                <w:rFonts w:eastAsia="仿宋"/>
              </w:rPr>
            </w:pPr>
            <w:r>
              <w:rPr>
                <w:rFonts w:eastAsia="仿宋"/>
              </w:rPr>
              <w:t>韩国华</w:t>
            </w:r>
          </w:p>
        </w:tc>
        <w:tc>
          <w:tcPr>
            <w:tcW w:w="2354" w:type="dxa"/>
            <w:tcBorders>
              <w:tl2br w:val="nil"/>
              <w:tr2bl w:val="nil"/>
            </w:tcBorders>
            <w:noWrap/>
            <w:vAlign w:val="center"/>
          </w:tcPr>
          <w:p>
            <w:pPr>
              <w:jc w:val="center"/>
              <w:rPr>
                <w:rFonts w:eastAsia="仿宋"/>
              </w:rPr>
            </w:pPr>
            <w:r>
              <w:rPr>
                <w:rFonts w:eastAsia="仿宋"/>
              </w:rPr>
              <w:t>抢险抢修组四队组长</w:t>
            </w:r>
          </w:p>
        </w:tc>
        <w:tc>
          <w:tcPr>
            <w:tcW w:w="2159" w:type="dxa"/>
            <w:tcBorders>
              <w:tl2br w:val="nil"/>
              <w:tr2bl w:val="nil"/>
            </w:tcBorders>
            <w:noWrap/>
            <w:vAlign w:val="center"/>
          </w:tcPr>
          <w:p>
            <w:pPr>
              <w:jc w:val="center"/>
              <w:rPr>
                <w:rFonts w:eastAsia="仿宋"/>
              </w:rPr>
            </w:pPr>
            <w:r>
              <w:rPr>
                <w:rFonts w:hint="eastAsia" w:eastAsia="仿宋"/>
              </w:rPr>
              <w:t>生产部部长助理</w:t>
            </w:r>
          </w:p>
        </w:tc>
        <w:tc>
          <w:tcPr>
            <w:tcW w:w="1378" w:type="dxa"/>
            <w:tcBorders>
              <w:tl2br w:val="nil"/>
              <w:tr2bl w:val="nil"/>
            </w:tcBorders>
            <w:noWrap/>
            <w:vAlign w:val="center"/>
          </w:tcPr>
          <w:p>
            <w:pPr>
              <w:jc w:val="center"/>
              <w:rPr>
                <w:rFonts w:eastAsia="仿宋"/>
              </w:rPr>
            </w:pPr>
            <w:r>
              <w:rPr>
                <w:rFonts w:hint="eastAsia" w:eastAsia="仿宋"/>
              </w:rPr>
              <w:t>/</w:t>
            </w:r>
          </w:p>
        </w:tc>
        <w:tc>
          <w:tcPr>
            <w:tcW w:w="1861" w:type="dxa"/>
            <w:tcBorders>
              <w:tl2br w:val="nil"/>
              <w:tr2bl w:val="nil"/>
            </w:tcBorders>
            <w:noWrap/>
            <w:vAlign w:val="center"/>
          </w:tcPr>
          <w:p>
            <w:pPr>
              <w:jc w:val="center"/>
              <w:rPr>
                <w:rFonts w:eastAsia="仿宋"/>
              </w:rPr>
            </w:pPr>
            <w:r>
              <w:rPr>
                <w:rFonts w:hint="eastAsia" w:eastAsia="仿宋"/>
              </w:rPr>
              <w:t>13732637696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7</w:t>
            </w:r>
          </w:p>
        </w:tc>
        <w:tc>
          <w:tcPr>
            <w:tcW w:w="1039" w:type="dxa"/>
            <w:tcBorders>
              <w:tl2br w:val="nil"/>
              <w:tr2bl w:val="nil"/>
            </w:tcBorders>
            <w:noWrap/>
            <w:vAlign w:val="center"/>
          </w:tcPr>
          <w:p>
            <w:pPr>
              <w:jc w:val="center"/>
              <w:rPr>
                <w:rFonts w:eastAsia="仿宋"/>
                <w:color w:val="auto"/>
              </w:rPr>
            </w:pPr>
            <w:r>
              <w:rPr>
                <w:rFonts w:eastAsia="仿宋"/>
                <w:color w:val="auto"/>
              </w:rPr>
              <w:t>章立军</w:t>
            </w:r>
          </w:p>
        </w:tc>
        <w:tc>
          <w:tcPr>
            <w:tcW w:w="2354" w:type="dxa"/>
            <w:tcBorders>
              <w:tl2br w:val="nil"/>
              <w:tr2bl w:val="nil"/>
            </w:tcBorders>
            <w:noWrap/>
            <w:vAlign w:val="center"/>
          </w:tcPr>
          <w:p>
            <w:pPr>
              <w:jc w:val="center"/>
              <w:rPr>
                <w:rFonts w:eastAsia="仿宋"/>
                <w:color w:val="auto"/>
              </w:rPr>
            </w:pPr>
            <w:r>
              <w:rPr>
                <w:rFonts w:eastAsia="仿宋"/>
                <w:color w:val="auto"/>
              </w:rPr>
              <w:t>安全保卫组组长</w:t>
            </w:r>
          </w:p>
        </w:tc>
        <w:tc>
          <w:tcPr>
            <w:tcW w:w="2159" w:type="dxa"/>
            <w:tcBorders>
              <w:tl2br w:val="nil"/>
              <w:tr2bl w:val="nil"/>
            </w:tcBorders>
            <w:noWrap/>
            <w:vAlign w:val="center"/>
          </w:tcPr>
          <w:p>
            <w:pPr>
              <w:jc w:val="center"/>
              <w:rPr>
                <w:rFonts w:eastAsia="仿宋"/>
                <w:color w:val="auto"/>
              </w:rPr>
            </w:pPr>
            <w:r>
              <w:rPr>
                <w:rFonts w:hint="eastAsia" w:eastAsia="仿宋"/>
                <w:color w:val="auto"/>
              </w:rPr>
              <w:t>公司厂办主任</w:t>
            </w:r>
          </w:p>
        </w:tc>
        <w:tc>
          <w:tcPr>
            <w:tcW w:w="1378" w:type="dxa"/>
            <w:tcBorders>
              <w:tl2br w:val="nil"/>
              <w:tr2bl w:val="nil"/>
            </w:tcBorders>
            <w:noWrap/>
            <w:vAlign w:val="center"/>
          </w:tcPr>
          <w:p>
            <w:pPr>
              <w:jc w:val="center"/>
              <w:rPr>
                <w:rFonts w:eastAsia="仿宋"/>
              </w:rPr>
            </w:pPr>
            <w:r>
              <w:rPr>
                <w:rFonts w:hint="eastAsia" w:eastAsia="仿宋"/>
              </w:rPr>
              <w:t>/</w:t>
            </w:r>
          </w:p>
        </w:tc>
        <w:tc>
          <w:tcPr>
            <w:tcW w:w="1861" w:type="dxa"/>
            <w:tcBorders>
              <w:tl2br w:val="nil"/>
              <w:tr2bl w:val="nil"/>
            </w:tcBorders>
            <w:noWrap/>
            <w:vAlign w:val="center"/>
          </w:tcPr>
          <w:p>
            <w:pPr>
              <w:jc w:val="center"/>
              <w:rPr>
                <w:rFonts w:eastAsia="仿宋"/>
              </w:rPr>
            </w:pPr>
            <w:r>
              <w:rPr>
                <w:rFonts w:hint="eastAsia" w:eastAsia="仿宋"/>
              </w:rPr>
              <w:t>18915527500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8</w:t>
            </w:r>
          </w:p>
        </w:tc>
        <w:tc>
          <w:tcPr>
            <w:tcW w:w="1039" w:type="dxa"/>
            <w:tcBorders>
              <w:tl2br w:val="nil"/>
              <w:tr2bl w:val="nil"/>
            </w:tcBorders>
            <w:noWrap/>
            <w:vAlign w:val="center"/>
          </w:tcPr>
          <w:p>
            <w:pPr>
              <w:jc w:val="center"/>
              <w:rPr>
                <w:rFonts w:eastAsia="仿宋"/>
                <w:color w:val="auto"/>
              </w:rPr>
            </w:pPr>
            <w:r>
              <w:rPr>
                <w:rFonts w:eastAsia="仿宋"/>
                <w:color w:val="auto"/>
              </w:rPr>
              <w:t>周杰</w:t>
            </w:r>
          </w:p>
        </w:tc>
        <w:tc>
          <w:tcPr>
            <w:tcW w:w="2354" w:type="dxa"/>
            <w:tcBorders>
              <w:tl2br w:val="nil"/>
              <w:tr2bl w:val="nil"/>
            </w:tcBorders>
            <w:noWrap/>
            <w:vAlign w:val="center"/>
          </w:tcPr>
          <w:p>
            <w:pPr>
              <w:jc w:val="center"/>
              <w:rPr>
                <w:rFonts w:eastAsia="仿宋"/>
                <w:color w:val="auto"/>
              </w:rPr>
            </w:pPr>
            <w:r>
              <w:rPr>
                <w:rFonts w:eastAsia="仿宋"/>
                <w:color w:val="auto"/>
              </w:rPr>
              <w:t>生产技术组组长</w:t>
            </w:r>
          </w:p>
        </w:tc>
        <w:tc>
          <w:tcPr>
            <w:tcW w:w="2159" w:type="dxa"/>
            <w:tcBorders>
              <w:tl2br w:val="nil"/>
              <w:tr2bl w:val="nil"/>
            </w:tcBorders>
            <w:noWrap/>
            <w:vAlign w:val="center"/>
          </w:tcPr>
          <w:p>
            <w:pPr>
              <w:jc w:val="center"/>
              <w:rPr>
                <w:rFonts w:eastAsia="仿宋"/>
                <w:color w:val="auto"/>
              </w:rPr>
            </w:pPr>
            <w:r>
              <w:rPr>
                <w:rFonts w:eastAsia="仿宋"/>
                <w:color w:val="auto"/>
              </w:rPr>
              <w:t>副总经理</w:t>
            </w:r>
          </w:p>
          <w:p>
            <w:pPr>
              <w:jc w:val="center"/>
              <w:rPr>
                <w:rFonts w:eastAsia="仿宋"/>
                <w:color w:val="auto"/>
              </w:rPr>
            </w:pPr>
            <w:r>
              <w:rPr>
                <w:rFonts w:eastAsia="仿宋"/>
                <w:color w:val="auto"/>
              </w:rPr>
              <w:t>兼</w:t>
            </w:r>
            <w:r>
              <w:rPr>
                <w:rFonts w:hint="eastAsia" w:eastAsia="仿宋"/>
                <w:color w:val="auto"/>
              </w:rPr>
              <w:t>生产</w:t>
            </w:r>
            <w:r>
              <w:rPr>
                <w:rFonts w:eastAsia="仿宋"/>
                <w:color w:val="auto"/>
              </w:rPr>
              <w:t>部部长</w:t>
            </w:r>
          </w:p>
        </w:tc>
        <w:tc>
          <w:tcPr>
            <w:tcW w:w="1378" w:type="dxa"/>
            <w:tcBorders>
              <w:tl2br w:val="nil"/>
              <w:tr2bl w:val="nil"/>
            </w:tcBorders>
            <w:noWrap/>
            <w:vAlign w:val="center"/>
          </w:tcPr>
          <w:p>
            <w:pPr>
              <w:jc w:val="center"/>
              <w:rPr>
                <w:rFonts w:eastAsia="仿宋"/>
              </w:rPr>
            </w:pPr>
            <w:r>
              <w:rPr>
                <w:rFonts w:eastAsia="仿宋"/>
              </w:rPr>
              <w:t>58726931</w:t>
            </w:r>
          </w:p>
        </w:tc>
        <w:tc>
          <w:tcPr>
            <w:tcW w:w="1861" w:type="dxa"/>
            <w:tcBorders>
              <w:tl2br w:val="nil"/>
              <w:tr2bl w:val="nil"/>
            </w:tcBorders>
            <w:noWrap/>
            <w:vAlign w:val="center"/>
          </w:tcPr>
          <w:p>
            <w:pPr>
              <w:jc w:val="center"/>
              <w:rPr>
                <w:rFonts w:eastAsia="仿宋"/>
              </w:rPr>
            </w:pPr>
            <w:r>
              <w:rPr>
                <w:rFonts w:eastAsia="仿宋"/>
              </w:rPr>
              <w:t>18962283808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9</w:t>
            </w:r>
          </w:p>
        </w:tc>
        <w:tc>
          <w:tcPr>
            <w:tcW w:w="1039" w:type="dxa"/>
            <w:tcBorders>
              <w:tl2br w:val="nil"/>
              <w:tr2bl w:val="nil"/>
            </w:tcBorders>
            <w:noWrap/>
            <w:vAlign w:val="center"/>
          </w:tcPr>
          <w:p>
            <w:pPr>
              <w:jc w:val="center"/>
              <w:rPr>
                <w:rFonts w:eastAsia="仿宋"/>
                <w:color w:val="auto"/>
                <w:kern w:val="0"/>
              </w:rPr>
            </w:pPr>
            <w:r>
              <w:rPr>
                <w:rFonts w:eastAsia="仿宋"/>
                <w:color w:val="auto"/>
                <w:kern w:val="0"/>
              </w:rPr>
              <w:t>张雪伟</w:t>
            </w:r>
          </w:p>
        </w:tc>
        <w:tc>
          <w:tcPr>
            <w:tcW w:w="2354" w:type="dxa"/>
            <w:tcBorders>
              <w:tl2br w:val="nil"/>
              <w:tr2bl w:val="nil"/>
            </w:tcBorders>
            <w:noWrap/>
            <w:vAlign w:val="center"/>
          </w:tcPr>
          <w:p>
            <w:pPr>
              <w:jc w:val="center"/>
              <w:rPr>
                <w:rFonts w:eastAsia="仿宋"/>
                <w:color w:val="auto"/>
              </w:rPr>
            </w:pPr>
            <w:r>
              <w:rPr>
                <w:rFonts w:eastAsia="仿宋"/>
                <w:color w:val="auto"/>
              </w:rPr>
              <w:t>物资供应组组长</w:t>
            </w:r>
          </w:p>
        </w:tc>
        <w:tc>
          <w:tcPr>
            <w:tcW w:w="2159" w:type="dxa"/>
            <w:tcBorders>
              <w:tl2br w:val="nil"/>
              <w:tr2bl w:val="nil"/>
            </w:tcBorders>
            <w:noWrap/>
            <w:vAlign w:val="center"/>
          </w:tcPr>
          <w:p>
            <w:pPr>
              <w:jc w:val="center"/>
              <w:rPr>
                <w:rFonts w:eastAsia="仿宋"/>
                <w:color w:val="auto"/>
              </w:rPr>
            </w:pPr>
            <w:r>
              <w:rPr>
                <w:rFonts w:eastAsia="仿宋"/>
                <w:color w:val="auto"/>
              </w:rPr>
              <w:t>营销部部长</w:t>
            </w:r>
          </w:p>
        </w:tc>
        <w:tc>
          <w:tcPr>
            <w:tcW w:w="1378" w:type="dxa"/>
            <w:tcBorders>
              <w:tl2br w:val="nil"/>
              <w:tr2bl w:val="nil"/>
            </w:tcBorders>
            <w:noWrap/>
            <w:vAlign w:val="center"/>
          </w:tcPr>
          <w:p>
            <w:pPr>
              <w:jc w:val="center"/>
              <w:rPr>
                <w:rFonts w:eastAsia="仿宋"/>
              </w:rPr>
            </w:pPr>
            <w:r>
              <w:rPr>
                <w:rFonts w:eastAsia="仿宋"/>
              </w:rPr>
              <w:t>58726999</w:t>
            </w:r>
          </w:p>
        </w:tc>
        <w:tc>
          <w:tcPr>
            <w:tcW w:w="1861" w:type="dxa"/>
            <w:tcBorders>
              <w:tl2br w:val="nil"/>
              <w:tr2bl w:val="nil"/>
            </w:tcBorders>
            <w:noWrap/>
            <w:vAlign w:val="center"/>
          </w:tcPr>
          <w:p>
            <w:pPr>
              <w:jc w:val="center"/>
              <w:rPr>
                <w:rFonts w:eastAsia="仿宋"/>
              </w:rPr>
            </w:pPr>
            <w:r>
              <w:rPr>
                <w:rFonts w:eastAsia="仿宋"/>
              </w:rPr>
              <w:t>15051552722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10</w:t>
            </w:r>
          </w:p>
        </w:tc>
        <w:tc>
          <w:tcPr>
            <w:tcW w:w="1039" w:type="dxa"/>
            <w:tcBorders>
              <w:tl2br w:val="nil"/>
              <w:tr2bl w:val="nil"/>
            </w:tcBorders>
            <w:noWrap/>
            <w:vAlign w:val="center"/>
          </w:tcPr>
          <w:p>
            <w:pPr>
              <w:jc w:val="center"/>
              <w:rPr>
                <w:rFonts w:eastAsia="仿宋"/>
                <w:color w:val="auto"/>
              </w:rPr>
            </w:pPr>
            <w:r>
              <w:rPr>
                <w:rFonts w:eastAsia="仿宋"/>
                <w:color w:val="auto"/>
              </w:rPr>
              <w:t>沈晓红</w:t>
            </w:r>
          </w:p>
        </w:tc>
        <w:tc>
          <w:tcPr>
            <w:tcW w:w="2354" w:type="dxa"/>
            <w:tcBorders>
              <w:tl2br w:val="nil"/>
              <w:tr2bl w:val="nil"/>
            </w:tcBorders>
            <w:noWrap/>
            <w:vAlign w:val="center"/>
          </w:tcPr>
          <w:p>
            <w:pPr>
              <w:jc w:val="center"/>
              <w:rPr>
                <w:rFonts w:eastAsia="仿宋"/>
                <w:color w:val="auto"/>
              </w:rPr>
            </w:pPr>
            <w:r>
              <w:rPr>
                <w:rFonts w:eastAsia="仿宋"/>
                <w:color w:val="auto"/>
              </w:rPr>
              <w:t>后勤救援组组长</w:t>
            </w:r>
          </w:p>
        </w:tc>
        <w:tc>
          <w:tcPr>
            <w:tcW w:w="2159" w:type="dxa"/>
            <w:tcBorders>
              <w:tl2br w:val="nil"/>
              <w:tr2bl w:val="nil"/>
            </w:tcBorders>
            <w:noWrap/>
            <w:vAlign w:val="center"/>
          </w:tcPr>
          <w:p>
            <w:pPr>
              <w:jc w:val="center"/>
              <w:rPr>
                <w:rFonts w:eastAsia="仿宋"/>
                <w:color w:val="auto"/>
              </w:rPr>
            </w:pPr>
            <w:r>
              <w:rPr>
                <w:rFonts w:hint="eastAsia" w:eastAsia="仿宋"/>
                <w:color w:val="auto"/>
              </w:rPr>
              <w:t>人力资源部副部长</w:t>
            </w:r>
          </w:p>
        </w:tc>
        <w:tc>
          <w:tcPr>
            <w:tcW w:w="1378" w:type="dxa"/>
            <w:tcBorders>
              <w:tl2br w:val="nil"/>
              <w:tr2bl w:val="nil"/>
            </w:tcBorders>
            <w:noWrap/>
            <w:vAlign w:val="center"/>
          </w:tcPr>
          <w:p>
            <w:pPr>
              <w:jc w:val="center"/>
              <w:rPr>
                <w:rFonts w:eastAsia="仿宋"/>
              </w:rPr>
            </w:pPr>
            <w:r>
              <w:rPr>
                <w:rFonts w:hint="eastAsia" w:eastAsia="仿宋"/>
              </w:rPr>
              <w:t>/</w:t>
            </w:r>
          </w:p>
        </w:tc>
        <w:tc>
          <w:tcPr>
            <w:tcW w:w="1861" w:type="dxa"/>
            <w:tcBorders>
              <w:tl2br w:val="nil"/>
              <w:tr2bl w:val="nil"/>
            </w:tcBorders>
            <w:noWrap/>
            <w:vAlign w:val="center"/>
          </w:tcPr>
          <w:p>
            <w:pPr>
              <w:jc w:val="center"/>
              <w:rPr>
                <w:rFonts w:eastAsia="仿宋"/>
              </w:rPr>
            </w:pPr>
            <w:r>
              <w:rPr>
                <w:rFonts w:hint="eastAsia" w:eastAsia="仿宋"/>
              </w:rPr>
              <w:t>18962283856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11</w:t>
            </w:r>
          </w:p>
        </w:tc>
        <w:tc>
          <w:tcPr>
            <w:tcW w:w="1039" w:type="dxa"/>
            <w:tcBorders>
              <w:tl2br w:val="nil"/>
              <w:tr2bl w:val="nil"/>
            </w:tcBorders>
            <w:noWrap/>
            <w:vAlign w:val="center"/>
          </w:tcPr>
          <w:p>
            <w:pPr>
              <w:jc w:val="center"/>
              <w:rPr>
                <w:rFonts w:eastAsia="仿宋"/>
                <w:color w:val="auto"/>
                <w:kern w:val="0"/>
              </w:rPr>
            </w:pPr>
            <w:r>
              <w:rPr>
                <w:rFonts w:eastAsia="仿宋"/>
                <w:color w:val="auto"/>
                <w:kern w:val="0"/>
              </w:rPr>
              <w:t>司晓燕</w:t>
            </w:r>
          </w:p>
        </w:tc>
        <w:tc>
          <w:tcPr>
            <w:tcW w:w="2354" w:type="dxa"/>
            <w:tcBorders>
              <w:tl2br w:val="nil"/>
              <w:tr2bl w:val="nil"/>
            </w:tcBorders>
            <w:noWrap/>
            <w:vAlign w:val="center"/>
          </w:tcPr>
          <w:p>
            <w:pPr>
              <w:jc w:val="center"/>
              <w:rPr>
                <w:rFonts w:eastAsia="仿宋"/>
                <w:color w:val="auto"/>
              </w:rPr>
            </w:pPr>
            <w:r>
              <w:rPr>
                <w:rFonts w:eastAsia="仿宋"/>
                <w:color w:val="auto"/>
              </w:rPr>
              <w:t>安全警戒组组长</w:t>
            </w:r>
          </w:p>
        </w:tc>
        <w:tc>
          <w:tcPr>
            <w:tcW w:w="2159" w:type="dxa"/>
            <w:tcBorders>
              <w:tl2br w:val="nil"/>
              <w:tr2bl w:val="nil"/>
            </w:tcBorders>
            <w:noWrap/>
            <w:vAlign w:val="center"/>
          </w:tcPr>
          <w:p>
            <w:pPr>
              <w:jc w:val="center"/>
              <w:rPr>
                <w:rFonts w:eastAsia="仿宋"/>
                <w:color w:val="auto"/>
              </w:rPr>
            </w:pPr>
            <w:r>
              <w:rPr>
                <w:rFonts w:eastAsia="仿宋"/>
                <w:color w:val="auto"/>
              </w:rPr>
              <w:t>安环部部长</w:t>
            </w:r>
          </w:p>
        </w:tc>
        <w:tc>
          <w:tcPr>
            <w:tcW w:w="1378" w:type="dxa"/>
            <w:tcBorders>
              <w:tl2br w:val="nil"/>
              <w:tr2bl w:val="nil"/>
            </w:tcBorders>
            <w:noWrap/>
            <w:vAlign w:val="center"/>
          </w:tcPr>
          <w:p>
            <w:pPr>
              <w:jc w:val="center"/>
              <w:rPr>
                <w:rFonts w:eastAsia="仿宋"/>
              </w:rPr>
            </w:pPr>
            <w:r>
              <w:rPr>
                <w:rFonts w:eastAsia="仿宋"/>
              </w:rPr>
              <w:t>58727302</w:t>
            </w:r>
          </w:p>
        </w:tc>
        <w:tc>
          <w:tcPr>
            <w:tcW w:w="1861" w:type="dxa"/>
            <w:tcBorders>
              <w:tl2br w:val="nil"/>
              <w:tr2bl w:val="nil"/>
            </w:tcBorders>
            <w:noWrap/>
            <w:vAlign w:val="center"/>
          </w:tcPr>
          <w:p>
            <w:pPr>
              <w:jc w:val="center"/>
              <w:rPr>
                <w:rFonts w:eastAsia="仿宋"/>
              </w:rPr>
            </w:pPr>
            <w:r>
              <w:rPr>
                <w:rFonts w:eastAsia="仿宋"/>
              </w:rPr>
              <w:t>15995719335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732" w:type="dxa"/>
            <w:tcBorders>
              <w:tl2br w:val="nil"/>
              <w:tr2bl w:val="nil"/>
            </w:tcBorders>
            <w:noWrap/>
            <w:vAlign w:val="center"/>
          </w:tcPr>
          <w:p>
            <w:pPr>
              <w:jc w:val="center"/>
              <w:rPr>
                <w:rFonts w:eastAsia="仿宋"/>
              </w:rPr>
            </w:pPr>
            <w:r>
              <w:rPr>
                <w:rFonts w:eastAsia="仿宋"/>
              </w:rPr>
              <w:t>12</w:t>
            </w:r>
          </w:p>
        </w:tc>
        <w:tc>
          <w:tcPr>
            <w:tcW w:w="1039" w:type="dxa"/>
            <w:tcBorders>
              <w:tl2br w:val="nil"/>
              <w:tr2bl w:val="nil"/>
            </w:tcBorders>
            <w:noWrap/>
            <w:vAlign w:val="center"/>
          </w:tcPr>
          <w:p>
            <w:pPr>
              <w:widowControl/>
              <w:jc w:val="center"/>
              <w:rPr>
                <w:rFonts w:eastAsia="仿宋"/>
                <w:color w:val="auto"/>
              </w:rPr>
            </w:pPr>
            <w:r>
              <w:rPr>
                <w:rFonts w:eastAsia="仿宋"/>
                <w:color w:val="auto"/>
              </w:rPr>
              <w:t>石梅</w:t>
            </w:r>
          </w:p>
        </w:tc>
        <w:tc>
          <w:tcPr>
            <w:tcW w:w="2354" w:type="dxa"/>
            <w:tcBorders>
              <w:tl2br w:val="nil"/>
              <w:tr2bl w:val="nil"/>
            </w:tcBorders>
            <w:noWrap/>
            <w:vAlign w:val="center"/>
          </w:tcPr>
          <w:p>
            <w:pPr>
              <w:widowControl/>
              <w:jc w:val="center"/>
              <w:rPr>
                <w:rFonts w:eastAsia="仿宋"/>
                <w:color w:val="auto"/>
              </w:rPr>
            </w:pPr>
            <w:r>
              <w:rPr>
                <w:rFonts w:eastAsia="仿宋"/>
                <w:color w:val="auto"/>
              </w:rPr>
              <w:t>环境监测组组长</w:t>
            </w:r>
          </w:p>
        </w:tc>
        <w:tc>
          <w:tcPr>
            <w:tcW w:w="2159" w:type="dxa"/>
            <w:tcBorders>
              <w:tl2br w:val="nil"/>
              <w:tr2bl w:val="nil"/>
            </w:tcBorders>
            <w:noWrap/>
            <w:vAlign w:val="center"/>
          </w:tcPr>
          <w:p>
            <w:pPr>
              <w:widowControl/>
              <w:jc w:val="center"/>
              <w:rPr>
                <w:rFonts w:eastAsia="仿宋"/>
                <w:color w:val="auto"/>
              </w:rPr>
            </w:pPr>
            <w:r>
              <w:rPr>
                <w:rFonts w:eastAsia="仿宋"/>
                <w:color w:val="auto"/>
              </w:rPr>
              <w:t>品质部部长</w:t>
            </w:r>
          </w:p>
        </w:tc>
        <w:tc>
          <w:tcPr>
            <w:tcW w:w="1378" w:type="dxa"/>
            <w:tcBorders>
              <w:tl2br w:val="nil"/>
              <w:tr2bl w:val="nil"/>
            </w:tcBorders>
            <w:noWrap/>
            <w:vAlign w:val="center"/>
          </w:tcPr>
          <w:p>
            <w:pPr>
              <w:jc w:val="center"/>
              <w:rPr>
                <w:rFonts w:eastAsia="仿宋"/>
              </w:rPr>
            </w:pPr>
            <w:r>
              <w:rPr>
                <w:rFonts w:eastAsia="仿宋"/>
              </w:rPr>
              <w:t>58726997</w:t>
            </w:r>
          </w:p>
        </w:tc>
        <w:tc>
          <w:tcPr>
            <w:tcW w:w="1861" w:type="dxa"/>
            <w:tcBorders>
              <w:tl2br w:val="nil"/>
              <w:tr2bl w:val="nil"/>
            </w:tcBorders>
            <w:noWrap/>
            <w:vAlign w:val="center"/>
          </w:tcPr>
          <w:p>
            <w:pPr>
              <w:jc w:val="center"/>
              <w:rPr>
                <w:rFonts w:eastAsia="仿宋"/>
              </w:rPr>
            </w:pPr>
            <w:r>
              <w:rPr>
                <w:rFonts w:eastAsia="仿宋"/>
              </w:rPr>
              <w:t>13915402772</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eastAsia" w:ascii="Times New Roman" w:hAnsi="Times New Roman" w:eastAsia="仿宋_GB2312" w:cs="Times New Roman"/>
          <w:b/>
          <w:bCs/>
          <w:color w:val="auto"/>
          <w:kern w:val="2"/>
          <w:sz w:val="21"/>
          <w:szCs w:val="21"/>
          <w:lang w:val="zh-CN" w:eastAsia="zh-CN" w:bidi="ar-SA"/>
        </w:rPr>
      </w:pPr>
      <w:r>
        <w:rPr>
          <w:rFonts w:hint="eastAsia" w:ascii="Times New Roman" w:hAnsi="Times New Roman" w:eastAsia="仿宋_GB2312" w:cs="Times New Roman"/>
          <w:b/>
          <w:bCs/>
          <w:color w:val="auto"/>
          <w:kern w:val="2"/>
          <w:sz w:val="21"/>
          <w:szCs w:val="21"/>
          <w:lang w:val="zh-CN" w:eastAsia="zh-CN" w:bidi="ar-SA"/>
        </w:rPr>
        <w:t>注：企业应急机构全体成员名单见《应急物资调查报告》。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件发生后，各主管第一时间组织处理，一旦部门领导到达现场后，主管的指挥权必须马上上交，公司分管领导、总经理到达现场后，部门的指挥权必须移交给总指挥，部门指挥辅助总指挥，总指挥根据事件大小若授权指挥的，由授权者接替总指挥权。如果事态紧急、严重，班长及以上职务人员有权下达人员疏散、撤离的命令。</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187" w:name="_Toc10885"/>
      <w:r>
        <w:rPr>
          <w:rFonts w:hint="eastAsia" w:ascii="Times New Roman" w:hAnsi="Times New Roman" w:eastAsia="仿宋_GB2312" w:cs="Times New Roman"/>
          <w:color w:val="auto"/>
          <w:kern w:val="2"/>
          <w:sz w:val="24"/>
          <w:szCs w:val="24"/>
          <w:lang w:val="zh-CN" w:eastAsia="zh-CN" w:bidi="ar-SA"/>
        </w:rPr>
        <w:t>4.2.2 指挥机构分工和主要职责</w:t>
      </w:r>
      <w:bookmarkEnd w:id="187"/>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在发生突发环境事件时，各应急小组按各自职责分工开展应急救援工作。通过平时的演习、训练，完善事件应急预案。各应急主要职责职如下：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（1）贯彻执行国家、当地政府、上级有关部门关于环境安全的方针、政策及规定；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（2）组织制定突发环境事件应急预案；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（3）组建突发环境事件应急救援队伍；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负责应急防范设施（备）（如堵漏器材、环境应急池、排放口应急阀门、储罐区围堰、应急监测仪器、防护器材、救援器材和应急交通工具等）的建设；以及应急救援物资，特别是处理泄漏物、消解和吸收污染物的活性炭等物资储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（5）检查、督促做好突发环境事件的预防措施和应急救援的各项准备工作，督促、协助有关部门及时消除有毒有害物质的跑、冒、滴、漏；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（6）负责组织预案的审批与更新；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（7）负责组织外部评审；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（8）批准本预案的启动与终止；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（9）确定现场指挥人员；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（10）协调事件现场有关工作；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（11）负责应急队伍的调动和资源配置；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（12）突发环境事件信息的上报及可能受影响区域的通报工作；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（13）负责应急状态下请求外部救援力量的决策；</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 xml:space="preserve">（14）接受上级应急救援指挥机构的指令和调动，协助事件的处理；配合有关部门对环境进行修复、事件调查、经验教训总结；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（15）负责保护事件现场及相关数据；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（16）有计划地组织实施突发环境事件应急救援的培训，根据应急预案进行演练，向周边企业、村落提供本单位有关危险物质特性、救援知识等宣传材料。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1、应急救援领导小组职责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1）组织企业危险化学品事故应急救援预案的制定、修订。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2）确定现场指挥人员，督促检查各救援组做好各项应急救援的准备工作。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3）组织应急预案的演练。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2、指挥部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1）批准本预案的启动与终止。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2）负责人员、资源配置，应急队伍的调动。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3）事故信息的上报工作。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4）协调事故现场有关工作。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5）接受政府的指令和调动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3、指挥部人员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1）总指挥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a）组织、指挥公司各方面的资源开展应急抢险工作。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b)组织制定事故排险、抢险方案。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c)下达各种应急处理指令。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d)在公司处于应急处理状态下，组织协调公司的各种对外联系。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2）副总指挥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a)协助总指挥负责应急抢险的具体指挥工作。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b)当总指挥不在现场时，自动承担总指挥的一切职责。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3）应急救援小组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公司所有部门都有职责参与应急救援，根据各自职能特点和现场应急需要，开展事故的应急救援和处置工作。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①抢险、抢修组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a）接到通知后，迅速集合队伍奔赴现场，根据事故情形正确配戴个人防护用具，协助事故发生单位迅速切断事故源和排除现场的易燃易爆物质；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 根据指挥部下达的指令，迅速抢修设备、管道，控制事故，以防扩大；查明有无中毒人员及操作者被困，及时使严重中毒者、被困者脱离危险区域；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 有计划地开展应急预案的演习，熟悉重点部位的应急预案，提高应急救援能力。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 有计划、有针对性地预测设备、管道泄漏部位，进行计划性检修，并进行封、围、堵等抢救措施的训练和实战演习。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②安全保卫组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 执行指挥部的指令，下达紧急安全处理指令。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 参与制订事故排险、抢险方案，组织落实安全环保方面的急紧措施。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 抓好事故现场的警戒和保卫工作。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 组织清点、疏散受灾人员、统计伤亡人数。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e) 收集事故现场有关证据，参与事故调查处理。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f) 配备、保管、维护有关应急检测仪器。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g)负责公众疏散（包括厂内人员和厂外周边人员），引导消防人员或医护人员进入事故现场。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h)负责灭火、抢险后事故现场的洗消去污，泄漏物防化、防毒处理。为恢复生产作好准备。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i) 负责对事故发展情况及对周边环境影响的监测，对火灾爆炸气态泄漏物去向进行跟踪监测。将监测结果及时报告应急救援指挥部。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③生产技术组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 xml:space="preserve">a)受理灾情报告，同时迅速向指挥部有关领导汇报。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b)参与制定工艺应急处理方案，组织落实工艺技术方面的应急措施。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c)指挥、协调、检查相关单位进行工艺应急处理。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d)及时向指挥部报告事故处理情况。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e)负责组织灾后恢复生产的原料、动力、产品调度平衡工作。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f)参加跑、冒、漏物料、设备、火灾、爆炸事故的调查处理工作。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④物资供应组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a）物资供应队在接到报警后，根据现场实际需要，准备抢险抢救物质及设备等工具。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 根据生产部门、事故装置查明事故部位管线、法兰、阀门、设备等型号及几何尺寸，对照库存储备，及时准确地提供备件。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 根据事故的程度，及时向外单位联系，调剂物质、工程器具等。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 负责抢险救援物质的运输。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⑤医疗救护组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a）负责抢救受伤、中毒人员的生活必需品的供应.</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b）积极参加应急救援的训练和演练。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c）在化学事故发生时，及时抢救中毒和受伤人员，对轻伤者进行现场及时治疗，重伤人员及时救护，送至医院抢救治疗.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d) 协助疏散、安顿受灾群众。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⑥应急监测组：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职责：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（1）负责环境污染物的监测、分析工作，如不能分析指标，请求质检科协助。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（2）负责污染物的处理方案的设计，尽可能减少突发事件对环境的危害。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（3）负责事故现场及有害物质扩散区域内的洗消、监测工作及事故原因的分析，处置工作的技术问题的解决。</w:t>
      </w:r>
    </w:p>
    <w:p>
      <w:pPr>
        <w:pStyle w:val="2"/>
        <w:rPr>
          <w:rFonts w:hint="default" w:ascii="Times New Roman" w:hAnsi="Times New Roman" w:cs="Times New Roman"/>
          <w:lang w:val="en-US" w:eastAsia="zh-CN"/>
        </w:rPr>
      </w:pP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eastAsia="zh-CN" w:bidi="ar-SA"/>
        </w:rPr>
      </w:pPr>
      <w:bookmarkStart w:id="188" w:name="_Toc3722"/>
      <w:r>
        <w:rPr>
          <w:rFonts w:hint="eastAsia" w:eastAsia="黑体" w:cs="Times New Roman"/>
          <w:b/>
          <w:color w:val="auto"/>
          <w:kern w:val="44"/>
          <w:sz w:val="32"/>
          <w:szCs w:val="32"/>
          <w:lang w:val="en-US" w:eastAsia="zh-CN" w:bidi="ar-SA"/>
        </w:rPr>
        <w:t xml:space="preserve">第五章  </w:t>
      </w:r>
      <w:r>
        <w:rPr>
          <w:rFonts w:hint="default" w:ascii="Times New Roman" w:hAnsi="Times New Roman" w:eastAsia="黑体" w:cs="Times New Roman"/>
          <w:b/>
          <w:color w:val="auto"/>
          <w:kern w:val="44"/>
          <w:sz w:val="32"/>
          <w:szCs w:val="32"/>
          <w:lang w:val="en-US" w:eastAsia="zh-CN" w:bidi="ar-SA"/>
        </w:rPr>
        <w:t>土壤及地下水污染预防</w:t>
      </w:r>
      <w:bookmarkEnd w:id="183"/>
      <w:r>
        <w:rPr>
          <w:rFonts w:hint="default" w:ascii="Times New Roman" w:hAnsi="Times New Roman" w:eastAsia="黑体" w:cs="Times New Roman"/>
          <w:b/>
          <w:color w:val="auto"/>
          <w:kern w:val="44"/>
          <w:sz w:val="32"/>
          <w:szCs w:val="32"/>
          <w:lang w:val="en-US" w:eastAsia="zh-CN" w:bidi="ar-SA"/>
        </w:rPr>
        <w:t>与预警</w:t>
      </w:r>
      <w:bookmarkEnd w:id="188"/>
      <w:bookmarkStart w:id="189" w:name="_Toc273445115"/>
      <w:bookmarkStart w:id="190" w:name="_Toc436833044"/>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en-US" w:eastAsia="zh-CN" w:bidi="ar-SA"/>
        </w:rPr>
      </w:pPr>
      <w:bookmarkStart w:id="191" w:name="_Toc31209"/>
      <w:r>
        <w:rPr>
          <w:rFonts w:hint="eastAsia" w:ascii="Times New Roman" w:hAnsi="Times New Roman" w:eastAsia="黑体" w:cs="Times New Roman"/>
          <w:color w:val="auto"/>
          <w:kern w:val="2"/>
          <w:sz w:val="28"/>
          <w:szCs w:val="28"/>
          <w:lang w:val="en-US" w:eastAsia="zh-CN" w:bidi="ar-SA"/>
        </w:rPr>
        <w:t>5.1</w:t>
      </w:r>
      <w:bookmarkEnd w:id="189"/>
      <w:r>
        <w:rPr>
          <w:rFonts w:hint="eastAsia" w:ascii="Times New Roman" w:hAnsi="Times New Roman" w:eastAsia="黑体" w:cs="Times New Roman"/>
          <w:color w:val="auto"/>
          <w:kern w:val="2"/>
          <w:sz w:val="28"/>
          <w:szCs w:val="28"/>
          <w:lang w:val="en-US" w:eastAsia="zh-CN" w:bidi="ar-SA"/>
        </w:rPr>
        <w:t>预防措施</w:t>
      </w:r>
      <w:bookmarkEnd w:id="190"/>
      <w:bookmarkEnd w:id="191"/>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92" w:name="_Toc22645"/>
      <w:bookmarkStart w:id="193" w:name="_Toc3435"/>
      <w:bookmarkStart w:id="194" w:name="_Toc17933"/>
      <w:bookmarkStart w:id="195" w:name="_Toc436833045"/>
      <w:bookmarkStart w:id="196" w:name="_Toc273445116"/>
      <w:r>
        <w:rPr>
          <w:rFonts w:hint="eastAsia" w:ascii="Times New Roman" w:hAnsi="Times New Roman" w:eastAsia="仿宋_GB2312" w:cs="Times New Roman"/>
          <w:color w:val="auto"/>
          <w:kern w:val="2"/>
          <w:sz w:val="24"/>
          <w:szCs w:val="24"/>
          <w:lang w:val="en-US" w:eastAsia="zh-CN" w:bidi="ar-SA"/>
        </w:rPr>
        <w:t>5.1.1土壤</w:t>
      </w:r>
      <w:r>
        <w:rPr>
          <w:rFonts w:hint="eastAsia" w:eastAsia="仿宋_GB2312" w:cs="Times New Roman"/>
          <w:color w:val="auto"/>
          <w:kern w:val="2"/>
          <w:sz w:val="24"/>
          <w:szCs w:val="24"/>
          <w:lang w:val="en-US" w:eastAsia="zh-CN" w:bidi="ar-SA"/>
        </w:rPr>
        <w:t>及地下水</w:t>
      </w:r>
      <w:r>
        <w:rPr>
          <w:rFonts w:hint="eastAsia" w:ascii="Times New Roman" w:hAnsi="Times New Roman" w:eastAsia="仿宋_GB2312" w:cs="Times New Roman"/>
          <w:color w:val="auto"/>
          <w:kern w:val="2"/>
          <w:sz w:val="24"/>
          <w:szCs w:val="24"/>
          <w:lang w:val="en-US" w:eastAsia="zh-CN" w:bidi="ar-SA"/>
        </w:rPr>
        <w:t>环境污染风险源监控</w:t>
      </w:r>
      <w:bookmarkEnd w:id="192"/>
      <w:bookmarkEnd w:id="193"/>
      <w:bookmarkEnd w:id="19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在储罐区以及主要生产工段应设有安全自动联锁系统、</w:t>
      </w:r>
      <w:r>
        <w:rPr>
          <w:rFonts w:hint="eastAsia" w:eastAsia="仿宋_GB2312" w:cs="Times New Roman"/>
          <w:color w:val="auto"/>
          <w:kern w:val="2"/>
          <w:sz w:val="24"/>
          <w:szCs w:val="24"/>
          <w:lang w:val="zh-CN" w:eastAsia="zh-CN" w:bidi="ar-SA"/>
        </w:rPr>
        <w:t>可燃气体自动</w:t>
      </w:r>
      <w:r>
        <w:rPr>
          <w:rFonts w:hint="eastAsia" w:ascii="Times New Roman" w:hAnsi="Times New Roman" w:eastAsia="仿宋_GB2312" w:cs="Times New Roman"/>
          <w:color w:val="auto"/>
          <w:kern w:val="2"/>
          <w:sz w:val="24"/>
          <w:szCs w:val="24"/>
          <w:lang w:val="zh-CN" w:eastAsia="zh-CN" w:bidi="ar-SA"/>
        </w:rPr>
        <w:t>报警系统等。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污水排口装有在线监测设施，所有监测数据均与环保部门联网。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对全厂、主要风险源有巡查制度。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对于各工段、关键岗位设有应急处置措施标识牌。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保持作业人员相对稳定，在作业过程中严禁污染物泄漏。各级管理人员应深入现场检查人的不安全行为；生产管理人员应每日检查工艺执行情况，杜绝超温、超压、超负荷情况；设备管理人员应每日对设备运转情况检查，确保安全附件完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安全环保稽查小组应传递日常检查发现的问题，对可能导致重大事故的隐患，由相关工程师讨论制定解决方案。每月在公司例会提出，研究解决生产中存在的重大问题，对重大隐患的防范及整改情况进行督察。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公司配备了相应的环保监测设备、仪器，对水、气等主要污染因子实行有效的适时监控。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储罐区和生产装置区采用电脑控制，对反应系统及关键设备的操作温度、操作压力、液位高低进行实时监控，设置安全报警、联锁系统，紧急情况可自动停车。储罐区建立完善的消防设施，包括消防系统、火灾报警系统。</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197" w:name="5.1.2 预防措施"/>
      <w:bookmarkEnd w:id="197"/>
      <w:bookmarkStart w:id="198" w:name="5.1.2 预防措施"/>
      <w:bookmarkEnd w:id="198"/>
      <w:bookmarkStart w:id="199" w:name="_Toc26119"/>
      <w:bookmarkStart w:id="200" w:name="_Toc29508"/>
      <w:bookmarkStart w:id="201" w:name="_Toc9973"/>
      <w:r>
        <w:rPr>
          <w:rFonts w:hint="eastAsia" w:ascii="Times New Roman" w:hAnsi="Times New Roman" w:eastAsia="仿宋_GB2312" w:cs="Times New Roman"/>
          <w:color w:val="auto"/>
          <w:kern w:val="2"/>
          <w:sz w:val="24"/>
          <w:szCs w:val="24"/>
          <w:lang w:val="en-US" w:eastAsia="zh-CN" w:bidi="ar-SA"/>
        </w:rPr>
        <w:t>5.1.2预防措施</w:t>
      </w:r>
      <w:bookmarkEnd w:id="199"/>
      <w:bookmarkEnd w:id="200"/>
      <w:bookmarkEnd w:id="20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公司制作公司平面图、安全出口路线图，制定紧急事件疏散预案。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每月安排专职消防人员对消防器材和设施进行检查并做好相关记录，确保设施和器材有效，保持消防通道畅通。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堆放物料时不得妨碍消防器具的使用，亦不得阻碍交通或出入口。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严格按防火、防爆设计规范的要求进行设计，按规范设置消防系统，配置相应的灭火装置和设施。在储罐区、生产装置区等危险场所设置雨淋阀、泡沫灭火系统、消防栓等，并经常检查确保设施正常运转。现场布置小型灭火器材，灭火器分别悬挂或放置于方便的明显位置，或以指示标明其位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公司对污染控制设施每日进行点检，保证其能正常使用。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设置应急事故水池，一旦物料泄漏导致废水泄漏，及时关停废水输送泵，关闭相关管道的阀门，切断清下水闸门，开启废水泵和事故应急泵，将消防废水、物料冲洗水等送公司应急事故水池，同时关闭雨水闸门和污水闸门，避免进入外环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公司全面检查和修复各种抽水泵、潜水泵。确保各种水泵正常。</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制订了安全生产管理制度、安全操作规程和危险化学品储运方案等方面的程序文件和作业指导书，并严格按要求执行。按设计规范要求配备消防、环保、监控等安全环保设备和设施，并加强维护保养，确保设备设施的完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制定并严格执行岗位安全操作规程，应急规程，定期对操作人员进行培训和三级安全教育，经考核合格后方可上岗，并建立安全教育档案。</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02" w:name="_Toc24611"/>
      <w:r>
        <w:rPr>
          <w:rFonts w:hint="eastAsia" w:ascii="Times New Roman" w:hAnsi="Times New Roman" w:eastAsia="黑体" w:cs="Times New Roman"/>
          <w:color w:val="auto"/>
          <w:kern w:val="2"/>
          <w:sz w:val="28"/>
          <w:szCs w:val="28"/>
          <w:lang w:val="en-US" w:eastAsia="zh-CN" w:bidi="ar-SA"/>
        </w:rPr>
        <w:t>5.2</w:t>
      </w:r>
      <w:r>
        <w:rPr>
          <w:rFonts w:hint="eastAsia" w:ascii="Times New Roman" w:hAnsi="Times New Roman" w:eastAsia="黑体" w:cs="Times New Roman"/>
          <w:color w:val="auto"/>
          <w:kern w:val="2"/>
          <w:sz w:val="28"/>
          <w:szCs w:val="28"/>
          <w:lang w:val="zh-CN" w:eastAsia="zh-CN" w:bidi="ar-SA"/>
        </w:rPr>
        <w:t>预警行动</w:t>
      </w:r>
      <w:bookmarkEnd w:id="195"/>
      <w:bookmarkEnd w:id="196"/>
      <w:bookmarkEnd w:id="20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按照</w:t>
      </w:r>
      <w:r>
        <w:rPr>
          <w:rFonts w:hint="eastAsia" w:eastAsia="仿宋_GB2312" w:cs="Times New Roman"/>
          <w:color w:val="auto"/>
          <w:kern w:val="2"/>
          <w:sz w:val="24"/>
          <w:szCs w:val="24"/>
          <w:lang w:val="zh-CN" w:eastAsia="zh-CN" w:bidi="ar-SA"/>
        </w:rPr>
        <w:t>土壤及地下水环境污染事件</w:t>
      </w:r>
      <w:r>
        <w:rPr>
          <w:rFonts w:hint="eastAsia" w:ascii="Times New Roman" w:hAnsi="Times New Roman" w:eastAsia="仿宋_GB2312" w:cs="Times New Roman"/>
          <w:color w:val="auto"/>
          <w:kern w:val="2"/>
          <w:sz w:val="24"/>
          <w:szCs w:val="24"/>
          <w:lang w:val="zh-CN" w:eastAsia="zh-CN" w:bidi="ar-SA"/>
        </w:rPr>
        <w:t>严重性、紧急程度和可能波及的范围，突发环境事件的预警分为四级，预警级别由低到高，颜色依次为蓝色、黄色、橙色、红色。根据事态的发展情况和采取措施的效果，预警颜色可以升级、降级或解除。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收集到的有关信息证明突发环境事件即将发生或者发生的可能性增大时，按照相关应急预案执行。</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203" w:name="_Toc28170"/>
      <w:bookmarkStart w:id="204" w:name="_Toc273445117"/>
      <w:r>
        <w:rPr>
          <w:rFonts w:hint="eastAsia" w:ascii="Times New Roman" w:hAnsi="Times New Roman" w:eastAsia="仿宋_GB2312" w:cs="Times New Roman"/>
          <w:color w:val="auto"/>
          <w:kern w:val="2"/>
          <w:sz w:val="24"/>
          <w:szCs w:val="24"/>
          <w:lang w:val="en-US" w:eastAsia="zh-CN" w:bidi="ar-SA"/>
        </w:rPr>
        <w:t>5.2.1</w:t>
      </w:r>
      <w:r>
        <w:rPr>
          <w:rFonts w:hint="eastAsia" w:ascii="Times New Roman" w:hAnsi="Times New Roman" w:eastAsia="仿宋_GB2312" w:cs="Times New Roman"/>
          <w:color w:val="auto"/>
          <w:kern w:val="2"/>
          <w:sz w:val="24"/>
          <w:szCs w:val="24"/>
          <w:lang w:val="zh-CN" w:eastAsia="zh-CN" w:bidi="ar-SA"/>
        </w:rPr>
        <w:t>发布预警条件</w:t>
      </w:r>
      <w:bookmarkEnd w:id="203"/>
      <w:bookmarkEnd w:id="20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(1)在危险源排查时发现存在可能造成人员伤亡、财产损失等严重后果的重大危险源时，应及时预警。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(2)收到的环境信息证明突发环境事件即将发生或者发生的可能性增大时，立即进入预警状态，并启动突发环境事件应急预案。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发布预警公告须经应急指挥组批准，预警公告的内容主要包括：突发环境事件名称、预警级别、预警区域或场所、预警期起止时间、影响估计、拟采取的应对措施和发布机关等。预警公告发布后，需要变更预警内容的应当及时发布变更公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红色一级预警：已发生重大泄漏、火灾、爆炸事故，造成人员重伤，泄漏已流入周边水域或影响到周边企业事业单位居民等，迅速启动应急预案组织自救并迅速向上级有关部门报告，请求外部救援。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黄色二级预警：已发生泄漏、火灾事故，影响范围厂内可控，企业在短时间内可采取相应的措施，组织自救，未对周边企事业单位居民产生影响。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蓝色三级预警：设备、设施异常运行、有液氯、液氨、硫酸等有泄漏迹象，影响范围车间可控，不会对厂区人员及外界环境造成影响，现场立即采取合理措施解决。</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205" w:name="_Toc273445118"/>
      <w:bookmarkStart w:id="206" w:name="_Toc24976"/>
      <w:r>
        <w:rPr>
          <w:rFonts w:hint="eastAsia" w:ascii="Times New Roman" w:hAnsi="Times New Roman" w:eastAsia="仿宋_GB2312" w:cs="Times New Roman"/>
          <w:color w:val="auto"/>
          <w:kern w:val="2"/>
          <w:sz w:val="24"/>
          <w:szCs w:val="24"/>
          <w:lang w:val="en-US" w:eastAsia="zh-CN" w:bidi="ar-SA"/>
        </w:rPr>
        <w:t>5.2.2</w:t>
      </w:r>
      <w:r>
        <w:rPr>
          <w:rFonts w:hint="eastAsia" w:ascii="Times New Roman" w:hAnsi="Times New Roman" w:eastAsia="仿宋_GB2312" w:cs="Times New Roman"/>
          <w:color w:val="auto"/>
          <w:kern w:val="2"/>
          <w:sz w:val="24"/>
          <w:szCs w:val="24"/>
          <w:lang w:val="zh-CN" w:eastAsia="zh-CN" w:bidi="ar-SA"/>
        </w:rPr>
        <w:t>发布预警方式、方法</w:t>
      </w:r>
      <w:bookmarkEnd w:id="205"/>
      <w:bookmarkEnd w:id="20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发现突发事件后，现场人员或部门负责人可通过公司电话、对讲机、广播形式发布预警。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一级预警：现场人员报告值班调度，调度核实情况后立即报告公司，公司应急指挥中心依据现场情况决定是否通知相关机构协助应急救援。若可能发生的环境污染事件严重，应当及时向县、市政府部门报告，由县、市领导决定后发布预警等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二级预警：现场人员或调度向安全或环保部门报告，由安环部门负责上报事故情况，公司应急指挥中心宣布启动预案。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三级预警：现场人员立即报告部门负责人和值班调度并通知安全或环保部门，部门负责人或调度视现场情况组织现场处置，安全或环保部门视情况协调相关部门进行现场处置，落实巡查、监控措施；如隐患未消除，应通知相关应急部门、人员作好应急准备。遇非工作日时，通知值班调度和总值班人员，并及时报告应急指挥中心总指挥和有关人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根据预警级别准备转移、撤离或者疏散可能受到危害的人员，并进行妥善安置。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指令各应急专业队伍进入应急状态，环境监测人员立即开展应急监测，随时掌握并报告事态进展情况。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针对突发事件可能造成的危害，封闭、隔离或者限制有关场所，中止可能导致危害扩大的行为和活动。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调集应急处置所需物资和设备，做好其他应急保障工作。</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07" w:name="_Toc436833046"/>
      <w:bookmarkStart w:id="208" w:name="_Toc14713"/>
      <w:bookmarkStart w:id="209" w:name="_Toc273445119"/>
      <w:r>
        <w:rPr>
          <w:rFonts w:hint="eastAsia" w:ascii="Times New Roman" w:hAnsi="Times New Roman" w:eastAsia="黑体" w:cs="Times New Roman"/>
          <w:color w:val="auto"/>
          <w:kern w:val="2"/>
          <w:sz w:val="28"/>
          <w:szCs w:val="28"/>
          <w:lang w:val="en-US" w:eastAsia="zh-CN" w:bidi="ar-SA"/>
        </w:rPr>
        <w:t>5.3</w:t>
      </w:r>
      <w:r>
        <w:rPr>
          <w:rFonts w:hint="eastAsia" w:ascii="Times New Roman" w:hAnsi="Times New Roman" w:eastAsia="黑体" w:cs="Times New Roman"/>
          <w:color w:val="auto"/>
          <w:kern w:val="2"/>
          <w:sz w:val="28"/>
          <w:szCs w:val="28"/>
          <w:lang w:val="zh-CN" w:eastAsia="zh-CN" w:bidi="ar-SA"/>
        </w:rPr>
        <w:t>报警、通讯联络方式</w:t>
      </w:r>
      <w:bookmarkEnd w:id="207"/>
      <w:bookmarkEnd w:id="208"/>
      <w:bookmarkEnd w:id="209"/>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210" w:name="_Toc15298"/>
      <w:r>
        <w:rPr>
          <w:rFonts w:hint="eastAsia" w:ascii="Times New Roman" w:hAnsi="Times New Roman" w:eastAsia="仿宋_GB2312" w:cs="Times New Roman"/>
          <w:color w:val="auto"/>
          <w:kern w:val="2"/>
          <w:sz w:val="24"/>
          <w:szCs w:val="24"/>
          <w:lang w:val="en-US" w:eastAsia="zh-CN" w:bidi="ar-SA"/>
        </w:rPr>
        <w:t>5.3.1</w:t>
      </w:r>
      <w:r>
        <w:rPr>
          <w:rFonts w:hint="eastAsia" w:eastAsia="仿宋_GB2312" w:cs="Times New Roman"/>
          <w:color w:val="auto"/>
          <w:kern w:val="2"/>
          <w:sz w:val="24"/>
          <w:szCs w:val="24"/>
          <w:lang w:val="en-US" w:eastAsia="zh-CN" w:bidi="ar-SA"/>
        </w:rPr>
        <w:t xml:space="preserve"> </w:t>
      </w:r>
      <w:r>
        <w:rPr>
          <w:rFonts w:hint="eastAsia" w:ascii="Times New Roman" w:hAnsi="Times New Roman" w:eastAsia="仿宋_GB2312" w:cs="Times New Roman"/>
          <w:color w:val="auto"/>
          <w:kern w:val="2"/>
          <w:sz w:val="24"/>
          <w:szCs w:val="24"/>
          <w:lang w:val="zh-CN" w:eastAsia="zh-CN" w:bidi="ar-SA"/>
        </w:rPr>
        <w:t xml:space="preserve"> </w:t>
      </w:r>
      <w:bookmarkStart w:id="211" w:name="_Toc273445120"/>
      <w:r>
        <w:rPr>
          <w:rFonts w:hint="eastAsia" w:ascii="Times New Roman" w:hAnsi="Times New Roman" w:eastAsia="仿宋_GB2312" w:cs="Times New Roman"/>
          <w:color w:val="auto"/>
          <w:kern w:val="2"/>
          <w:sz w:val="24"/>
          <w:szCs w:val="24"/>
          <w:lang w:val="zh-CN" w:eastAsia="zh-CN" w:bidi="ar-SA"/>
        </w:rPr>
        <w:t>24小时有效报警装置</w:t>
      </w:r>
      <w:bookmarkEnd w:id="210"/>
      <w:bookmarkEnd w:id="21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目前通讯采用电话、手机、对讲机、应急广播等方式，报警可采取电话、手机、自动报警装置、手动报警等方式。各岗位、部门均已安装，覆盖面较广。本地区的消防队与电话报警组成一个完整的通讯网络，可供内网、外网和通讯联络需要。对各岗位、各部门及应急人员的手机、固定电话号码全部收录，以便快捷迅速应对灾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发生突发事件时，公司应急指挥办公室接到报告后，由总指挥授权人员通过应急广播系统发布事件警报，启动公司应急系统。发布内容包括事件类型、事件地点、现场指挥部地点、应急疏散点地点。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事件救援过程，由现场指挥员向各应急救援班组长口头发布指令，各救援班组长通过既定的频道向本组成员下达指令，每位救援人员对每一个指令的接收和执行应及时进行反馈，反馈至指令下达人。</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212" w:name="_Toc29323"/>
      <w:r>
        <w:rPr>
          <w:rFonts w:hint="eastAsia" w:ascii="Times New Roman" w:hAnsi="Times New Roman" w:eastAsia="仿宋_GB2312" w:cs="Times New Roman"/>
          <w:color w:val="auto"/>
          <w:kern w:val="2"/>
          <w:sz w:val="24"/>
          <w:szCs w:val="24"/>
          <w:lang w:val="en-US" w:eastAsia="zh-CN" w:bidi="ar-SA"/>
        </w:rPr>
        <w:t>5.3.2</w:t>
      </w:r>
      <w:r>
        <w:rPr>
          <w:rFonts w:hint="eastAsia" w:ascii="Times New Roman" w:hAnsi="Times New Roman" w:eastAsia="仿宋_GB2312" w:cs="Times New Roman"/>
          <w:color w:val="auto"/>
          <w:kern w:val="2"/>
          <w:sz w:val="24"/>
          <w:szCs w:val="24"/>
          <w:lang w:val="zh-CN" w:eastAsia="zh-CN" w:bidi="ar-SA"/>
        </w:rPr>
        <w:t xml:space="preserve"> </w:t>
      </w:r>
      <w:bookmarkStart w:id="213" w:name="_Toc273445121"/>
      <w:r>
        <w:rPr>
          <w:rFonts w:hint="eastAsia" w:eastAsia="仿宋_GB2312" w:cs="Times New Roman"/>
          <w:color w:val="auto"/>
          <w:kern w:val="2"/>
          <w:sz w:val="24"/>
          <w:szCs w:val="24"/>
          <w:lang w:val="en-US" w:eastAsia="zh-CN" w:bidi="ar-SA"/>
        </w:rPr>
        <w:t xml:space="preserve"> </w:t>
      </w:r>
      <w:r>
        <w:rPr>
          <w:rFonts w:hint="eastAsia" w:ascii="Times New Roman" w:hAnsi="Times New Roman" w:eastAsia="仿宋_GB2312" w:cs="Times New Roman"/>
          <w:color w:val="auto"/>
          <w:kern w:val="2"/>
          <w:sz w:val="24"/>
          <w:szCs w:val="24"/>
          <w:lang w:val="zh-CN" w:eastAsia="zh-CN" w:bidi="ar-SA"/>
        </w:rPr>
        <w:t>24小时</w:t>
      </w:r>
      <w:bookmarkEnd w:id="213"/>
      <w:r>
        <w:rPr>
          <w:rFonts w:hint="eastAsia" w:ascii="Times New Roman" w:hAnsi="Times New Roman" w:eastAsia="仿宋_GB2312" w:cs="Times New Roman"/>
          <w:color w:val="auto"/>
          <w:kern w:val="2"/>
          <w:sz w:val="24"/>
          <w:szCs w:val="24"/>
          <w:lang w:val="zh-CN" w:eastAsia="zh-CN" w:bidi="ar-SA"/>
        </w:rPr>
        <w:t>通讯联络方式</w:t>
      </w:r>
      <w:bookmarkEnd w:id="21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事件报警：发现事件者，应立即向当班班长报告，当班班长向厂长报告，厂长向总经理报告，应急救援小组响应成立。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火灾报警：凡在本公司范围内发生火灾事件，首先发现者，应立即拨打公司内24小时值班电话：0512-58726986，并通知控制室，向上级领导逐级报告，应急救援小组响应成立。报警时，应清楚说明起火位置、起火燃烧对象、火势大小及报警者姓名。如火势较大厂内消防队不能处理，指定专人向消防部门报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发生一般和较大事件报告流程：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（1）第一发现者大声呼救附近人员；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（2）逐级向上司汇报（异常情况可越级直接汇报到部门负责人）；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（3）汇报同时向安环部主管报告；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（4）向值班室值班人员汇报；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（5）各部门长逐级向下告知通报情况。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重大事故情急情况下外部联络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（1）班长、安全主管联络火警、救护车、公安；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（2）班长、安全主管联络保税区安全、环保、卫生相关政府机构；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（3）安环部主管联络周边企业主要领导或安全负责人。</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zh-CN" w:eastAsia="zh-CN" w:bidi="ar-SA"/>
        </w:rPr>
      </w:pPr>
      <w:bookmarkStart w:id="214" w:name="_Toc16941"/>
      <w:r>
        <w:rPr>
          <w:rFonts w:hint="eastAsia" w:ascii="Times New Roman" w:hAnsi="Times New Roman" w:eastAsia="仿宋_GB2312" w:cs="Times New Roman"/>
          <w:color w:val="auto"/>
          <w:kern w:val="2"/>
          <w:sz w:val="24"/>
          <w:szCs w:val="24"/>
          <w:lang w:val="en-US" w:eastAsia="zh-CN" w:bidi="ar-SA"/>
        </w:rPr>
        <w:t>5.3.3</w:t>
      </w:r>
      <w:r>
        <w:rPr>
          <w:rFonts w:hint="eastAsia" w:ascii="Times New Roman" w:hAnsi="Times New Roman" w:eastAsia="仿宋_GB2312" w:cs="Times New Roman"/>
          <w:color w:val="auto"/>
          <w:kern w:val="2"/>
          <w:sz w:val="24"/>
          <w:szCs w:val="24"/>
          <w:lang w:val="zh-CN" w:eastAsia="zh-CN" w:bidi="ar-SA"/>
        </w:rPr>
        <w:t xml:space="preserve"> </w:t>
      </w:r>
      <w:r>
        <w:rPr>
          <w:rFonts w:hint="eastAsia" w:eastAsia="仿宋_GB2312" w:cs="Times New Roman"/>
          <w:color w:val="auto"/>
          <w:kern w:val="2"/>
          <w:sz w:val="24"/>
          <w:szCs w:val="24"/>
          <w:lang w:val="en-US" w:eastAsia="zh-CN" w:bidi="ar-SA"/>
        </w:rPr>
        <w:t xml:space="preserve"> </w:t>
      </w:r>
      <w:r>
        <w:rPr>
          <w:rFonts w:hint="eastAsia" w:ascii="Times New Roman" w:hAnsi="Times New Roman" w:eastAsia="仿宋_GB2312" w:cs="Times New Roman"/>
          <w:color w:val="auto"/>
          <w:kern w:val="2"/>
          <w:sz w:val="24"/>
          <w:szCs w:val="24"/>
          <w:lang w:val="zh-CN" w:eastAsia="zh-CN" w:bidi="ar-SA"/>
        </w:rPr>
        <w:t>24小时有效的内部、外部通讯联络手段</w:t>
      </w:r>
      <w:bookmarkEnd w:id="21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发现事故者，应立即向当班班长报告，当班班长向部门领导报告，部门领导向主管和公司领导报告，启动与事故等级相适应的应急救援响应。凡在本公司范围内发生氯气泄漏、火灾等突发事故，首先发现者，应立即打公司内氯碱中控电话58726985、58726986，并通知主管领导（情况紧急时也可直接向公司领导报告），由主管领导向公司领导报告，应急救援小组响应成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内部24小时有效的报警电话：0512-58726986</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zh-CN" w:eastAsia="zh-CN" w:bidi="ar-SA"/>
        </w:rPr>
        <w:t>外部：火警119   公安：110   急救：120   环境：12369</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bidi="ar-SA"/>
        </w:rPr>
      </w:pPr>
      <w:bookmarkStart w:id="215" w:name="5.1 预防措施"/>
      <w:bookmarkEnd w:id="215"/>
      <w:bookmarkStart w:id="216" w:name="_bookmark23"/>
      <w:bookmarkEnd w:id="216"/>
      <w:bookmarkStart w:id="217" w:name="_Toc12418"/>
      <w:bookmarkStart w:id="218" w:name="_Toc16364"/>
      <w:r>
        <w:rPr>
          <w:rFonts w:hint="default" w:ascii="Times New Roman" w:hAnsi="Times New Roman" w:eastAsia="黑体" w:cs="Times New Roman"/>
          <w:b/>
          <w:color w:val="auto"/>
          <w:kern w:val="44"/>
          <w:sz w:val="32"/>
          <w:szCs w:val="32"/>
          <w:lang w:val="en-US" w:bidi="ar-SA"/>
        </w:rPr>
        <w:t>第六章 信息报告与通报</w:t>
      </w:r>
      <w:bookmarkEnd w:id="217"/>
      <w:bookmarkEnd w:id="218"/>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依据《突发环境事件信息报告办法》及有关规定，明确信息报告时限和发布程序、内容和方式，双狮（张家港）精细化工有限公司信息报告和通报具体情况如下。</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19" w:name="_Toc25157"/>
      <w:bookmarkStart w:id="220" w:name="_Toc273445124"/>
      <w:bookmarkStart w:id="221" w:name="_Toc436833048"/>
      <w:r>
        <w:rPr>
          <w:rFonts w:hint="eastAsia" w:ascii="Times New Roman" w:hAnsi="Times New Roman" w:eastAsia="黑体" w:cs="Times New Roman"/>
          <w:color w:val="auto"/>
          <w:kern w:val="2"/>
          <w:sz w:val="28"/>
          <w:szCs w:val="28"/>
          <w:lang w:val="en-US" w:eastAsia="zh-CN" w:bidi="ar-SA"/>
        </w:rPr>
        <w:t>6.1</w:t>
      </w:r>
      <w:r>
        <w:rPr>
          <w:rFonts w:hint="eastAsia" w:ascii="Times New Roman" w:hAnsi="Times New Roman" w:eastAsia="黑体" w:cs="Times New Roman"/>
          <w:color w:val="auto"/>
          <w:kern w:val="2"/>
          <w:sz w:val="28"/>
          <w:szCs w:val="28"/>
          <w:lang w:val="zh-CN" w:eastAsia="zh-CN" w:bidi="ar-SA"/>
        </w:rPr>
        <w:t>内部报告</w:t>
      </w:r>
      <w:bookmarkEnd w:id="219"/>
      <w:bookmarkEnd w:id="220"/>
      <w:bookmarkEnd w:id="22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（1）信息报告程序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现场突发环境事件知情人→上级领导→公司应急救援指挥部。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在发现紧急事件即将发生或已经发生时，第一知情人应当初步评估并确认事件发生，立即警告暴露在危险中的第一人群（如操作人员），并通知上级领导请求援助。若事件明显威胁人身安全，应立即启动撤离信号报警装置等应急警报，并迅速通知公司应急救援指挥部事件所在位置及事态，应急救援指挥部指派人员到场后立即采取措施控制事态发展，并判断事情严重性后选择是否启动全面应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以上报告程序为在不能解决的情况下通知上一级应急人员，如发生较严重或上一级人员无法控制的事件可越级报告。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（2）报告方式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口头汇报方式：发生事件后，知情人在初步了解事件情况后，应当立即通过电话向应急办公室进行口头汇报。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书面汇报方式：在初步了解事件情况后，应当在4个小时内，逐级以书面材料上报事件有关情况。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（3）24小时应急值守电话</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我公司24小时紧急联络专用电话： 0512-58726986；</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紧急联络人：公司安全保卫组人员轮流值守。</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22" w:name="_Toc273445125"/>
      <w:bookmarkStart w:id="223" w:name="_Toc22888"/>
      <w:bookmarkStart w:id="224" w:name="_Toc436833049"/>
      <w:r>
        <w:rPr>
          <w:rFonts w:hint="eastAsia" w:ascii="Times New Roman" w:hAnsi="Times New Roman" w:eastAsia="黑体" w:cs="Times New Roman"/>
          <w:color w:val="auto"/>
          <w:kern w:val="2"/>
          <w:sz w:val="28"/>
          <w:szCs w:val="28"/>
          <w:lang w:val="en-US" w:eastAsia="zh-CN" w:bidi="ar-SA"/>
        </w:rPr>
        <w:t>6.2</w:t>
      </w:r>
      <w:r>
        <w:rPr>
          <w:rFonts w:hint="eastAsia" w:ascii="Times New Roman" w:hAnsi="Times New Roman" w:eastAsia="黑体" w:cs="Times New Roman"/>
          <w:color w:val="auto"/>
          <w:kern w:val="2"/>
          <w:sz w:val="28"/>
          <w:szCs w:val="28"/>
          <w:lang w:val="zh-CN" w:eastAsia="zh-CN" w:bidi="ar-SA"/>
        </w:rPr>
        <w:t>信息上报</w:t>
      </w:r>
      <w:bookmarkEnd w:id="222"/>
      <w:bookmarkEnd w:id="223"/>
      <w:bookmarkEnd w:id="22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突发环境污染事件的信息上报分为初报、续报和处理结果报告三类。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初报：在发生环境污染突发事件（事件较为严重时：重大事件）一小时内，须报告张家港市保税区安环局、张家港市环保局、安监局等相关部门；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续报：组织现场事件应急处理和事件情况调查，在处理过程中根据实际应急处理情况进行不定期连续上报；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处理结果报告：事件应急处理完成后 15 个工作日内，对于事件的发生原因进行调查，总结事件应急情况，并向张家港市保税区安环局、张家港市环保局、安监局等相关单位上报。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初报可采用电话方式，由指挥部指定专人报告。报告内容主要为：事件发生类型、发生时间、地点、污染源、主要污染物、人员伤害情况、事件的发展趋势、事件的潜在危害程度等。初报过程中应采用适当的方式，避免在当地群众中造成不利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续报可采用电话方式，由初报人员再担任。报告内容为：事件发生的过程、进展情况、应急处理情况、人员伤害状况、事件控制状况、事件发生趋势如何等。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处理结果及事件原因调查报告采用书面报告形式，报告人仍可以是初报人员或（副）总指挥。报告内容：事件发生原因、事件发生过程、应急处理措施、造成的人员伤害、事件造成的经济损失、应急监测数据、事件处理效果、事件处理的遗留问题等。</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25" w:name="_Toc273445126"/>
      <w:bookmarkStart w:id="226" w:name="_Toc436833050"/>
      <w:bookmarkStart w:id="227" w:name="_Toc1703"/>
      <w:r>
        <w:rPr>
          <w:rFonts w:hint="eastAsia" w:ascii="Times New Roman" w:hAnsi="Times New Roman" w:eastAsia="黑体" w:cs="Times New Roman"/>
          <w:color w:val="auto"/>
          <w:kern w:val="2"/>
          <w:sz w:val="28"/>
          <w:szCs w:val="28"/>
          <w:lang w:val="en-US" w:eastAsia="zh-CN" w:bidi="ar-SA"/>
        </w:rPr>
        <w:t>6.3</w:t>
      </w:r>
      <w:r>
        <w:rPr>
          <w:rFonts w:hint="eastAsia" w:ascii="Times New Roman" w:hAnsi="Times New Roman" w:eastAsia="黑体" w:cs="Times New Roman"/>
          <w:color w:val="auto"/>
          <w:kern w:val="2"/>
          <w:sz w:val="28"/>
          <w:szCs w:val="28"/>
          <w:lang w:val="zh-CN" w:eastAsia="zh-CN" w:bidi="ar-SA"/>
        </w:rPr>
        <w:t>信息通报</w:t>
      </w:r>
      <w:bookmarkEnd w:id="225"/>
      <w:bookmarkEnd w:id="226"/>
      <w:bookmarkEnd w:id="227"/>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通过电话、传真、报纸、公示等形式向环境突发事件可能影响的区域通报突发事件的情况，主要通报内容：环境事件的类型、发生时间、地点、污染源、主要污染物质的种类、数量、事件潜在的危害程度、转化方式趋向等初步情况。</w:t>
      </w:r>
    </w:p>
    <w:p>
      <w:pPr>
        <w:pStyle w:val="4"/>
        <w:keepNext/>
        <w:keepLines/>
        <w:autoSpaceDE/>
        <w:autoSpaceDN/>
        <w:spacing w:before="163" w:beforeLines="50" w:after="163" w:afterLines="50" w:line="360" w:lineRule="auto"/>
        <w:ind w:left="0" w:right="0"/>
        <w:jc w:val="left"/>
        <w:outlineLvl w:val="1"/>
        <w:rPr>
          <w:rFonts w:hint="eastAsia" w:ascii="Times New Roman" w:hAnsi="Times New Roman" w:eastAsia="黑体" w:cs="Times New Roman"/>
          <w:color w:val="auto"/>
          <w:kern w:val="2"/>
          <w:sz w:val="28"/>
          <w:szCs w:val="28"/>
          <w:lang w:val="zh-CN" w:eastAsia="zh-CN" w:bidi="ar-SA"/>
        </w:rPr>
      </w:pPr>
      <w:bookmarkStart w:id="228" w:name="_Toc273445127"/>
      <w:bookmarkStart w:id="229" w:name="_Toc24353"/>
      <w:bookmarkStart w:id="230" w:name="_Toc436833051"/>
      <w:r>
        <w:rPr>
          <w:rFonts w:hint="eastAsia" w:ascii="Times New Roman" w:hAnsi="Times New Roman" w:eastAsia="黑体" w:cs="Times New Roman"/>
          <w:color w:val="auto"/>
          <w:kern w:val="2"/>
          <w:sz w:val="28"/>
          <w:szCs w:val="28"/>
          <w:lang w:val="en-US" w:eastAsia="zh-CN" w:bidi="ar-SA"/>
        </w:rPr>
        <w:t>6.4</w:t>
      </w:r>
      <w:r>
        <w:rPr>
          <w:rFonts w:hint="eastAsia" w:ascii="Times New Roman" w:hAnsi="Times New Roman" w:eastAsia="黑体" w:cs="Times New Roman"/>
          <w:color w:val="auto"/>
          <w:kern w:val="2"/>
          <w:sz w:val="28"/>
          <w:szCs w:val="28"/>
          <w:lang w:val="zh-CN" w:eastAsia="zh-CN" w:bidi="ar-SA"/>
        </w:rPr>
        <w:t>事件报告内容</w:t>
      </w:r>
      <w:bookmarkEnd w:id="228"/>
      <w:bookmarkEnd w:id="229"/>
      <w:bookmarkEnd w:id="23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当事件已经或可能对外环境造成影响时，应当进行信息上报及信息通报，明确向上级主管部门和地方人民政府报告事件信息的流程、内容和时限。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件报告应包括的内容有：事件发生的时间、地点、单位、类型和排放污染物的种类数量、直接的经济损失、已采取的应急措施，已污染的范围，潜在的危害程度，转化方式及趋势；事件的简要经过、伤亡人数、损失初步估计；事件发生的原因初步判断、事件发生后采取的措施及事件控制情况以及事件报告单位或事件报告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en-US" w:eastAsia="zh-CN" w:bidi="ar-SA"/>
        </w:rPr>
      </w:pPr>
    </w:p>
    <w:bookmarkEnd w:id="2"/>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bidi="ar-SA"/>
        </w:rPr>
      </w:pPr>
      <w:bookmarkStart w:id="231" w:name="_Toc23278"/>
      <w:bookmarkStart w:id="232" w:name="_Toc11390"/>
      <w:r>
        <w:rPr>
          <w:rFonts w:hint="default" w:ascii="Times New Roman" w:hAnsi="Times New Roman" w:eastAsia="黑体" w:cs="Times New Roman"/>
          <w:b/>
          <w:color w:val="auto"/>
          <w:kern w:val="44"/>
          <w:sz w:val="32"/>
          <w:szCs w:val="32"/>
          <w:lang w:val="en-US" w:bidi="ar-SA"/>
        </w:rPr>
        <w:t>第七章 应急响应与措施</w:t>
      </w:r>
      <w:bookmarkEnd w:id="231"/>
      <w:bookmarkEnd w:id="232"/>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33" w:name="7.1 分级响应机制"/>
      <w:bookmarkEnd w:id="233"/>
      <w:bookmarkStart w:id="234" w:name="_bookmark29"/>
      <w:bookmarkEnd w:id="234"/>
      <w:bookmarkStart w:id="235" w:name="_Toc26097"/>
      <w:bookmarkStart w:id="236" w:name="_Toc6584"/>
      <w:r>
        <w:rPr>
          <w:rFonts w:hint="default" w:ascii="Times New Roman" w:hAnsi="Times New Roman" w:eastAsia="黑体" w:cs="Times New Roman"/>
          <w:color w:val="auto"/>
          <w:kern w:val="2"/>
          <w:sz w:val="28"/>
          <w:szCs w:val="28"/>
          <w:lang w:val="en-US" w:eastAsia="zh-CN" w:bidi="ar-SA"/>
        </w:rPr>
        <w:t>7.1分级响应机制</w:t>
      </w:r>
      <w:bookmarkEnd w:id="235"/>
      <w:bookmarkEnd w:id="236"/>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bookmarkStart w:id="237" w:name="_Toc16148"/>
      <w:r>
        <w:rPr>
          <w:rFonts w:hint="default" w:ascii="Times New Roman" w:hAnsi="Times New Roman" w:eastAsia="仿宋_GB2312" w:cs="Times New Roman"/>
          <w:b w:val="0"/>
          <w:bCs w:val="0"/>
          <w:color w:val="auto"/>
          <w:kern w:val="2"/>
          <w:sz w:val="24"/>
          <w:szCs w:val="24"/>
          <w:lang w:val="zh-CN" w:eastAsia="zh-CN" w:bidi="ar-SA"/>
        </w:rPr>
        <w:t>应急状态可分为场内应急状态和场外应急状态。进入应急状态的区域根据受到污染和威胁程度的不同实施不同的应急响应：</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三级响应：仅有少量泄漏，不会对厂区人员及外界环境造成影响，采取合理措施就可解决。</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二级响应：造成人员轻伤，火灾量小，影响范围较小，公司采取救援措施，组织自救。</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一级响应：造成人员重伤或伤亡，物料发生大量泄漏、发生火灾、爆炸时，厂方根据现场情况组织自救并迅速向上级部门报告，请求外部力量救援。</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应急状态和应急响应由应急领导小组一致研讨出结果后由总指挥发布。</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针对突发环境事件严重性、紧急程度、危害程度、影响范围、厂内部（生产工段、车间）控制事态的能力以及需要调动的应急资源，将突发环境事件分为不同的等级。等级依次为Ⅲ级（一般突发环境事件）、Ⅱ级（较大突发环境事件）、Ⅰ级（重大突发环境事件）。</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（1）发生重大环境事件时，启动一级响应；</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（2）发生较大环境事件时，启动二级响应；</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（3）发生一般环境事件时，启动三级响应；</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重大事件是指由于物料泄大量漏、生产设备故障、危险作业操作不当等原因导致的火灾、爆炸事件，需要请求外部进行援助的突发环境事件。</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较大事件：指物料泄漏，需要立即向总经理汇报，并由总经理或总经理指派的人员进行应急指挥，依靠公司自己力量即可将事态控制与有效处理的突发环境事件。</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一般事件：依靠车间或部门就可将其有效控制与处理的事件，本预案通常指物料小量泄漏。</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 xml:space="preserve">当发生突发环境事件时，应急响应组织分为: </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（1）Ⅰ级应急响应由张家港市应急指挥中心指挥部人员指挥并介绍事件情况和已采取的应急措施，配合协助应急指挥与处置；</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（2）Ⅱ级应急响应由</w:t>
      </w:r>
      <w:r>
        <w:rPr>
          <w:rFonts w:hint="eastAsia" w:ascii="Times New Roman" w:hAnsi="Times New Roman" w:eastAsia="仿宋_GB2312" w:cs="Times New Roman"/>
          <w:b w:val="0"/>
          <w:bCs w:val="0"/>
          <w:color w:val="auto"/>
          <w:kern w:val="2"/>
          <w:sz w:val="24"/>
          <w:szCs w:val="24"/>
          <w:lang w:val="zh-CN" w:eastAsia="zh-CN" w:bidi="ar-SA"/>
        </w:rPr>
        <w:t>张家港市保税区安环局</w:t>
      </w:r>
      <w:r>
        <w:rPr>
          <w:rFonts w:hint="default" w:ascii="Times New Roman" w:hAnsi="Times New Roman" w:eastAsia="仿宋_GB2312" w:cs="Times New Roman"/>
          <w:b w:val="0"/>
          <w:bCs w:val="0"/>
          <w:color w:val="auto"/>
          <w:kern w:val="2"/>
          <w:sz w:val="24"/>
          <w:szCs w:val="24"/>
          <w:lang w:val="zh-CN" w:eastAsia="zh-CN" w:bidi="ar-SA"/>
        </w:rPr>
        <w:t>应急领导小组负责指挥，组织应急小组开展应急工作；</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（3）Ⅲ级应急响应由该</w:t>
      </w:r>
      <w:r>
        <w:rPr>
          <w:rFonts w:hint="eastAsia" w:ascii="Times New Roman" w:hAnsi="Times New Roman" w:eastAsia="仿宋_GB2312" w:cs="Times New Roman"/>
          <w:b w:val="0"/>
          <w:bCs w:val="0"/>
          <w:color w:val="auto"/>
          <w:kern w:val="2"/>
          <w:sz w:val="24"/>
          <w:szCs w:val="24"/>
          <w:lang w:val="zh-CN" w:eastAsia="zh-CN" w:bidi="ar-SA"/>
        </w:rPr>
        <w:t>部门负责人</w:t>
      </w:r>
      <w:r>
        <w:rPr>
          <w:rFonts w:hint="default" w:ascii="Times New Roman" w:hAnsi="Times New Roman" w:eastAsia="仿宋_GB2312" w:cs="Times New Roman"/>
          <w:b w:val="0"/>
          <w:bCs w:val="0"/>
          <w:color w:val="auto"/>
          <w:kern w:val="2"/>
          <w:sz w:val="24"/>
          <w:szCs w:val="24"/>
          <w:lang w:val="zh-CN" w:eastAsia="zh-CN" w:bidi="ar-SA"/>
        </w:rPr>
        <w:t>负责应急指挥；组织相关人员进行应急处置。</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38" w:name="_Toc1290"/>
      <w:r>
        <w:rPr>
          <w:rFonts w:hint="default" w:ascii="Times New Roman" w:hAnsi="Times New Roman" w:eastAsia="黑体" w:cs="Times New Roman"/>
          <w:color w:val="auto"/>
          <w:kern w:val="2"/>
          <w:sz w:val="28"/>
          <w:szCs w:val="28"/>
          <w:lang w:val="en-US" w:eastAsia="zh-CN" w:bidi="ar-SA"/>
        </w:rPr>
        <w:t>7.2应急措施</w:t>
      </w:r>
      <w:bookmarkEnd w:id="237"/>
      <w:bookmarkEnd w:id="238"/>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en-US" w:eastAsia="zh-CN" w:bidi="ar-SA"/>
        </w:rPr>
      </w:pPr>
      <w:bookmarkStart w:id="239" w:name="7.2.1 突发土壤环境污染事件现场应急措施"/>
      <w:bookmarkEnd w:id="239"/>
      <w:bookmarkStart w:id="240" w:name="7.2.1 突发土壤环境污染事件现场应急措施"/>
      <w:bookmarkEnd w:id="240"/>
      <w:bookmarkStart w:id="241" w:name="_Toc5911"/>
      <w:bookmarkStart w:id="242" w:name="_Toc20802"/>
      <w:r>
        <w:rPr>
          <w:rFonts w:hint="default" w:ascii="Times New Roman" w:hAnsi="Times New Roman" w:eastAsia="仿宋_GB2312" w:cs="Times New Roman"/>
          <w:color w:val="auto"/>
          <w:kern w:val="2"/>
          <w:sz w:val="24"/>
          <w:szCs w:val="24"/>
          <w:lang w:val="en-US" w:eastAsia="zh-CN" w:bidi="ar-SA"/>
        </w:rPr>
        <w:t>7.2.1突发土壤环境污染和地下水环境污染事件现场应急措施</w:t>
      </w:r>
      <w:bookmarkEnd w:id="241"/>
      <w:bookmarkEnd w:id="242"/>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仿宋_GB2312" w:cs="Times New Roman"/>
          <w:b/>
          <w:bCs/>
          <w:color w:val="auto"/>
          <w:kern w:val="2"/>
          <w:sz w:val="24"/>
          <w:szCs w:val="24"/>
          <w:lang w:val="zh-CN" w:eastAsia="zh-CN" w:bidi="ar-SA"/>
        </w:rPr>
      </w:pPr>
      <w:r>
        <w:rPr>
          <w:rFonts w:hint="eastAsia" w:ascii="Times New Roman" w:hAnsi="Times New Roman" w:eastAsia="仿宋_GB2312" w:cs="Times New Roman"/>
          <w:b/>
          <w:bCs/>
          <w:color w:val="auto"/>
          <w:kern w:val="2"/>
          <w:sz w:val="24"/>
          <w:szCs w:val="24"/>
          <w:lang w:val="zh-CN" w:eastAsia="zh-CN" w:bidi="ar-SA"/>
        </w:rPr>
        <w:t>储罐区物料泄漏应急处置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1）员工发现储罐区内发生泄漏时，应立即报告当班主管及DCS控制室泄漏物质、泄漏位置、大致泄漏量等情况；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当班主管接到泄漏报告后，立即组织员工穿戴好防有机蒸汽半面罩、护目镜、防护面罩、防化学靴（必要时穿雨衣或防化服、正压式空气呼吸器）、防化学手套等防护用品，到现场进行应急处理，并报告生产部主管、环境安全科长。到现场后，迅速撤离无关人员，关闭相应阀门，如发生少量泄漏，当班主管组织人员用棉布（棉布存放于制造物流工具室和附带仓库）堵住所有泄漏源，并将所泄漏的物料收集后，置于合适的容器密闭存放，作为固体废弃物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3）生产经理、安环部负责人接到报告后，立即报告上级领导，到泄漏现场指导员工进行处理，并且会同维修部门进行调查，采取措施，防止类似事故再发生；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如发生大量泄漏，首先通知相关人员将雨水切换进事故应急池，由消防组员对现场进行封闭警戒并作应急处理，“环境污染事故应急指挥领导小组”根据现场情况判断可能影响公司员工的生命安全时，应立即要求公司员工进行紧急疏散，并停止现场处理。DCS控制室通过应急广播、报警系统通知公司内所有员工紧急疏散并报警请求社会救援力量进行救援（紧急疏散参照公司“职业安全卫生应急预案”进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5）环境安全主管及时向上级环境主管部门以及周边企业通报事故。</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事故处理结束后，现场泄漏在储罐围堰内的物料、污水及时通过雨水收集系统收集至事故池，分析后确认是泵入事故应急池；或者用泵送至污水处理站处理；或者委外处理。待雨水系统水检测合格后再开启雨水出口阀门，雨水切换至雨水出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7）事故发生在节假日或中、夜班时，当班主管作为现场最高管理者负责现场应急处理。并用电话向生产部主管报告，由生产部主管通报“应急指挥领导小组”成员。</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仿宋_GB2312" w:cs="Times New Roman"/>
          <w:b/>
          <w:bCs/>
          <w:color w:val="auto"/>
          <w:kern w:val="2"/>
          <w:sz w:val="24"/>
          <w:szCs w:val="24"/>
          <w:lang w:val="zh-CN" w:eastAsia="zh-CN" w:bidi="ar-SA"/>
        </w:rPr>
      </w:pPr>
      <w:r>
        <w:rPr>
          <w:rFonts w:hint="eastAsia" w:ascii="Times New Roman" w:hAnsi="Times New Roman" w:eastAsia="仿宋_GB2312" w:cs="Times New Roman"/>
          <w:b/>
          <w:bCs/>
          <w:color w:val="auto"/>
          <w:kern w:val="2"/>
          <w:sz w:val="24"/>
          <w:szCs w:val="24"/>
          <w:lang w:val="zh-CN" w:eastAsia="zh-CN" w:bidi="ar-SA"/>
        </w:rPr>
        <w:t>化学品泄漏应急处置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有毒有害物质发生泄漏时，应疏散泄漏污染区人员至安全区，禁止无关人员进入污染区，切断火源。建议应急处理人员戴自给式呼吸器，穿规定的消防防护服。在确保安全情况下堵漏或切断气源。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泄漏被控制后，要及时将现场泄漏物进行覆盖、收容、稀释、处理使泄漏物得到安全可靠的处置，防止二次事故的发生。泄漏物处置方法以下：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（1）如果化学品为液体，泄漏到地面上时会四处蔓延扩散，难以收集处理。为此需要筑堤堵截或者引流到安全地点。为此需要筑堤堵截或者引流到安全地点。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对于贮罐区发生液体泄漏时，要及时关闭雨水阀，防止物料沿明沟外流。对于液体泄漏，为降低物料向大气中的蒸发速度，可用泡沫或其他覆盖物品覆盖外泄的物料，在其表面形成覆盖层，抑制其蒸发。或者采用低温冷却来降低泄漏物的蒸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（3）为减少大气污染，通常是采用水枪或消防水带向有害物蒸汽云喷射雾状水，加速气体向高空扩散，使其在安全地带扩散。在使用这一技术时，将产生大量的被污染水，因此应疏通污水排放系统。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（4）对于可燃物，也可以在现场施放大量水蒸气或氮气，破坏燃烧条件。对于大型液体泄漏，可选择用隔膜泵将泄漏出的物料抽入容器内或槽车内；当泄漏量小时，可用沙子、吸附材料 、中和材料等吸收中和。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一、现场处置程序：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故现场发现事故的第一人立即撤至离开现场100m上风处，拨打报警电话，应急指挥成员迅速赶赴事故现场，具体了解事故状况、泄漏物质情况等，事故现场工作人员加强现场巡检，要求与现场救援无关人员迅速撤离现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液氯、液氨、三氧化硫等有毒气体泄漏事故发生后，有毒气体扩散范围难以预测。根据风速、风向、地型及建筑物的状况，通过有毒气体探测仪测试，划出警戒区，在有关地点设置“禁止人内”、“此处危险”的标志，或根据情况设立警戒岗，切断通往危险区域的交通，禁止车辆、无关人员进人危险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事故现场工作人员按紧急人员要求，切断泄漏气体波及场所内电源，控制一切火源，并配合完成其他相关操作；生产现场人员按应急人员要求完成相关停产操作。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应急指挥根据现场情况，确定事故隔离区域，命令各应急救援组立即开展救援工作。如事故扩大时，立即向有关部门请求支援；并要求成员通知相邻单位，联系外部救援单位进展情况。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确认正常污水排放口和雨水排放口阀门为关闭状态，防止污染物通过污水排放口流入到厂外，对厂外水沟造成污染。通知相关人员启动通入环境应急池的应急排污泵，引导污染物和冲洗废水等流入应急管道，最终流入调节（环境应急）池集中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疏散协调员搬运临近部位灭火器材、公司灭火装置、以及砂土、泡沫等物质放置到现场周围。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二、泄漏物处置方法：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表7-1 厂内危险化学污染物质泄漏处理方法</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74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right="271" w:rightChars="0"/>
              <w:jc w:val="right"/>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污染物质</w:t>
            </w:r>
          </w:p>
        </w:tc>
        <w:tc>
          <w:tcPr>
            <w:tcW w:w="7462" w:type="dxa"/>
            <w:noWrap w:val="0"/>
            <w:vAlign w:val="center"/>
          </w:tcPr>
          <w:p>
            <w:pPr>
              <w:pStyle w:val="204"/>
              <w:spacing w:before="1"/>
              <w:ind w:left="318" w:leftChars="0" w:right="271" w:rightChars="0"/>
              <w:jc w:val="center"/>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泄漏处理方法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氯气</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迅速撤离泄漏污染区人员至上风处，小泄漏时隔离（泄漏量≤200L）100m，大泄漏（泄漏量≥200L）时隔离450m，并隔离直至气体散尽。</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应急处理人员戴正压自给式呼吸器，穿化学防护服(完全隔离)，避免与乙炔、松节油、乙醚、氨等物质接触。</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切断气源，喷雾状水稀释、溶解，然后抽排(室内)或强力通风(室外)。</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用管道将泄漏物导至还原剂(酸式硫酸钠或酸式碳酸钠)溶液。也可以将漏气钢瓶置于石灰乳液中。漏气容器不能再用，且要经过技术处理以清除可能剩下的气体。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硫酸</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疏散泄漏污染区人员至安全区，禁止无关人员进入污染区，建议应急处理人员戴好面罩，穿化学防护服。</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不要直接接触泄漏物，勿使泄漏物与可燃物质(木材、纸、油等)接触，在确保安全情况下堵漏。喷水雾减慢挥发(或扩散)，但不要对泄漏物或泄漏点直接喷水。</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用沙土、干燥石灰或苏打灰混合，然后收集运至废物处理场所处置。</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也可用大量水冲洗，经稀释的洗水放入废水系统。如大量泄漏，利用围堤收容，然后收集、转移、回收或无害处理后废弃。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氢氧化钠</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隔离泄漏污染区，周围设警告标志，应急处理人员戴好防毒面具，穿化学防护服。</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不要直接接触泄漏物，收集于干燥净洁有盖的容器内，以少量加入大量水，调至中性，再放入废水系统。</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可用大量水冲洗，经稀释的洗水放入废水系统。如大量泄漏，收集回收或无害处理后废弃。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氯磺酸</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疏散泄漏污染区人员至安全区，禁止无关人员进入污染区，</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议应急处理人员戴好防毒面具，穿化学防护服。不要直接接触泄漏物，禁止向泄漏物直接喷水，更不要让水进入包装容器内。</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迅速撤离泄漏污染区人员至安全区，并立即隔离150m, 严格限制出入。建议应急处理人员戴自给正压式呼吸器，穿防酸碱工作服。从上风处进入现场尽可能切断泄漏源，防止进入下水道、排鸿沟等限制性空间。</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消除方法：少量泄漏：用砂土、蛭石或其它惰性材料吸收。大量泄漏：构筑围堤或挖坑收容;在专家指导下清除。</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禁止用水或泡沫灭火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盐酸</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疏散泄漏污染区人员至安全区，禁止无关人员进入污染区，</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议应急处理人员戴好防毒面具，穿化学防护服。不要直接接触泄漏物，禁止向泄漏物直接喷水，更不要让水进入包装容器内。</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用沙土、干燥石灰或苏打灰混合，然后收集运至废物处理场所处置。</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用大量水冲洗，经稀释的洗水放入废水系统。如大量泄漏，利用围堤收容，然后收集、转移、回收或无害处理后废弃。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次氯酸钠</w:t>
            </w:r>
          </w:p>
        </w:tc>
        <w:tc>
          <w:tcPr>
            <w:tcW w:w="7462" w:type="dxa"/>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疏散泄漏污染区人员至安全区，禁止无关人员进入污染区，建议应急处理人员戴好防毒面具，穿相应的工作服。</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不要直接接触泄漏物，在确保安全情况下堵漏。</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用沙土、蛭石或其它惰性材料吸收，然后转移到安全场所。如大量泄漏，利用围堤收容，然后收集、转移、回收或无害处理后废弃。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三、洗消液处置方法: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用洗消液冲洗分为三个部分，一是在源头冲洗，将污染源严密控制在最小范围内，二是在事故发生地周围的设备，厂房，以及下风向的建筑物喷洒洗消液，将污染控制在一个隔绝区域；三是在控制住污染源后，从事故发生地开始向下风方向对污染区逐次推进全面而彻底的洗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现场清理泄漏物料时，将冲洗的污水应排入污水处理系统进行处理；危险固体废弃物交由有资质的单位进行处理；清理时可咨询有关专家，以决定安全和最佳方法后进行，必要时由具备资质的清洗机构清洗。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3.待事故现场污染物得到控制并消除已产生的污染物后方可启动正常排污口。</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废水处理系统故障应急处置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废水处理系统故障应急处置：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当污水处理设施发生故障或污水经处理后污染因子依然超标时，应利用污水收集管网把废水转移到事故应急池临时储存。待设施检修完毕后，恢复设施正常运行，同时将事故应急池内废水利用水泵转移至污水设施处理达标后排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若发生污水连接管路损坏、泄露等情况，污染周围土壤和地下水质，应立即停止污水排放、转移，立即开展管网的抢修工作，将废水暂存于事故应急池，当管路破损严重修复时间较长时，应立即停产，待修复后方可继续排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火灾、爆炸事故应急处置措施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（1）现场发生火灾时，发现人员应大声报告，立刻报警，并及时切断事故现场电源，停止生产，并迅速担负起抢救工作。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（2）突发事件应急指挥领导小组迅速电话通知所有的应急救援队伍、人员到着火区域上风口集合了解分析情况，并分析和确定火灾原因，采取相应措施进行扑救。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（3）当火势趋盛、无法靠自身力量扑救和控制时，职工应立即疏散撤离，并对人员进行清点，留下主控人员对系统进行手动控制，停止系统运行。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（4）其他工段人员密切注意本岗情况，加强岗位监督控制，确保其它目标安全生产。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由于使用消防水、抗溶性泡沫或二氧化碳灭火时，混合消防废水会排入厂区内雨水排放管网，因此需确保雨污水排放口（接管口）切断装置处于关闭状态，防止消防废水流出雨水管线及污水管线末端进入附近水体（如长江等），使厂区地面消防废水通过消防水收集系统（雨污管网、事故沟等）流入事故应急池，待事故结束后委托有资质的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（6）如情况严重，必要时由总指挥下令公司全部停产，切断所有危险源连接管道，由综合部人员带领，各车间、部门负责人负责将所有人员紧急疏散到厂区外安全地带。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（7）厂区应急救援小组在总指挥的领导下尽最大努力，以最佳办法将火灾控制在可控范围内。</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（8）如人员力量不足或火势无法控制，由总指挥决定通知外援，直至火灭为止。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（9）火灾事故处理完毕后，由总指挥组织全体应急救援人员，对现场进行清理，对人员进行清点。由后勤保障组对事故经过进行记录，对事故进行调查报应急指挥领导小组。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（10）事故处置结束后，定期对全厂电气设备和线路进行隐患排查，杜绝类似事件再次发生。</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仿宋_GB2312" w:cs="Times New Roman"/>
          <w:b/>
          <w:bCs/>
          <w:color w:val="auto"/>
          <w:kern w:val="2"/>
          <w:sz w:val="24"/>
          <w:szCs w:val="24"/>
          <w:lang w:val="zh-CN" w:eastAsia="zh-CN" w:bidi="ar-SA"/>
        </w:rPr>
      </w:pPr>
      <w:r>
        <w:rPr>
          <w:rFonts w:hint="eastAsia" w:ascii="Times New Roman" w:hAnsi="Times New Roman" w:eastAsia="仿宋_GB2312" w:cs="Times New Roman"/>
          <w:b/>
          <w:bCs/>
          <w:color w:val="auto"/>
          <w:kern w:val="2"/>
          <w:sz w:val="24"/>
          <w:szCs w:val="24"/>
          <w:lang w:val="zh-CN" w:eastAsia="zh-CN" w:bidi="ar-SA"/>
        </w:rPr>
        <w:t>危险化学品火灾爆炸应急处置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氢气大量泄漏时，如遇明火或其他火源，则易发生重大火灾爆炸事故。一旦发生火灾爆炸事故，应急人员和现场操作人员的具体火灾爆炸处理程序。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一、现场处置程序：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事故现场发现第一人立即拨打119火警电话，讲明事故地点、公司电话以及爆炸物质。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在有关地点设置“禁止人内”、“此处危险”的标志，或根据情况设立警戒岗，切断通往危险区域的交通，禁止车辆、无关人员进人危险区。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事故现场工作人员加强现场巡检，要求与现场救援无关人员迅速撤离现场。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事故现场工作人员按应急人员要求，配合完成其他相关操作。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生产现场人员按应急人员要求完成相关停车操作。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生产现场人员加强现场巡检，确保现场正常，并按应急人员要求随时准备支援事故现场。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二、火灾爆炸处置方法：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应急指挥成员迅速赶赴事故现场指挥部，具体了解事故状况、泄漏物质情况等；应急指挥小组根据现场情况，确定事故隔离区域，命令各应急救援组立即开展救援工作，并立即向有关部门请求支援。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抢险协调员穿戴好防护用具，占领上风或侧风阵地，采用二氧化碳或干粉灭火器首先扑救火场外沿火势，切断火势蔓延的途径，同时采取措施冷却和疏散受火势威胁的密闭容器和可燃物，控制燃烧范围。并积极抢救受伤和被困人员。如导致其它液体泄漏流淌时，筑堤（或用围栏）拦截飘散流淌的易燃液体或挖沟导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疏散协调员切断蔓延方向并控制火势的同时，采取必要保护措施后，关闭输送管道进、出阀门，如果管道阀门已损坏，应迅速准备好堵漏材料，然后采用干粉或二氧化碳等灭火器扑灭地上的流淌火焰；再扑灭泄漏口的火焰，并迅速采取堵漏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向有害物蒸气支喷射雾状水，加速气体向高空扩散。对于可燃物，也可以现场释放大量水蒸气或氮气，破坏燃烧条件。对于导致的其它液体泄漏，为降低物料向大气中的蒸发速度，可用泡沫或其他覆盖物品覆盖外泄的物料，在其表面形成覆盖物，抑制蒸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联络员及时补充灭火器材、公司灭火装置、以及砂土、泡沫等物质放置到现场周围。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对有可能发生爆炸、爆裂、喷溅等特别危险需紧急撤退的情况，各应急人员应按照统一的撤退信号和撤退方法及时撤退。</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w:t>
      </w:r>
      <w:r>
        <w:rPr>
          <w:rFonts w:hint="eastAsia" w:ascii="Times New Roman" w:hAnsi="Times New Roman" w:eastAsia="仿宋_GB2312" w:cs="Times New Roman"/>
          <w:color w:val="auto"/>
          <w:kern w:val="2"/>
          <w:sz w:val="24"/>
          <w:szCs w:val="24"/>
          <w:lang w:val="zh-CN" w:eastAsia="zh-CN" w:bidi="ar-SA"/>
        </w:rPr>
        <w:tab/>
      </w:r>
      <w:r>
        <w:rPr>
          <w:rFonts w:hint="eastAsia" w:ascii="Times New Roman" w:hAnsi="Times New Roman" w:eastAsia="仿宋_GB2312" w:cs="Times New Roman"/>
          <w:color w:val="auto"/>
          <w:kern w:val="2"/>
          <w:sz w:val="24"/>
          <w:szCs w:val="24"/>
          <w:lang w:val="zh-CN" w:eastAsia="zh-CN" w:bidi="ar-SA"/>
        </w:rPr>
        <w:t>火灾扑灭后，安全员指派专人监护现场，以消灭余火。</w:t>
      </w:r>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zh-CN" w:eastAsia="zh-CN" w:bidi="ar-SA"/>
        </w:rPr>
      </w:pPr>
      <w:bookmarkStart w:id="243" w:name="_Toc3195"/>
      <w:r>
        <w:rPr>
          <w:rFonts w:hint="default" w:ascii="Times New Roman" w:hAnsi="Times New Roman" w:eastAsia="仿宋_GB2312" w:cs="Times New Roman"/>
          <w:color w:val="auto"/>
          <w:kern w:val="2"/>
          <w:sz w:val="24"/>
          <w:szCs w:val="24"/>
          <w:lang w:val="en-US" w:eastAsia="zh-CN" w:bidi="ar-SA"/>
        </w:rPr>
        <w:t>7.2.2</w:t>
      </w:r>
      <w:r>
        <w:rPr>
          <w:rFonts w:hint="default" w:ascii="Times New Roman" w:hAnsi="Times New Roman" w:eastAsia="仿宋_GB2312" w:cs="Times New Roman"/>
          <w:color w:val="auto"/>
          <w:kern w:val="2"/>
          <w:sz w:val="24"/>
          <w:szCs w:val="24"/>
          <w:lang w:val="zh-CN" w:eastAsia="zh-CN" w:bidi="ar-SA"/>
        </w:rPr>
        <w:t>水污染事件保护目标的应急措施</w:t>
      </w:r>
      <w:bookmarkEnd w:id="24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44" w:name="7.2.4地下水、土壤污染事件保护目标的应急措施"/>
      <w:bookmarkEnd w:id="244"/>
      <w:bookmarkStart w:id="245" w:name="7.2.4地下水、土壤污染事件保护目标的应急措施"/>
      <w:bookmarkEnd w:id="245"/>
      <w:r>
        <w:rPr>
          <w:rFonts w:hint="eastAsia" w:ascii="Times New Roman" w:hAnsi="Times New Roman" w:eastAsia="仿宋_GB2312" w:cs="Times New Roman"/>
          <w:color w:val="auto"/>
          <w:kern w:val="2"/>
          <w:sz w:val="24"/>
          <w:szCs w:val="24"/>
          <w:lang w:val="zh-CN" w:eastAsia="zh-CN" w:bidi="ar-SA"/>
        </w:rPr>
        <w:t>公司事故废水的去向是经厂内污水处理站预处理后接管至张家港保税区胜科水务有限公司集中处理后，尾水排入长江。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对各类化学品泄漏的应急处置，应注意根据其化学危险特性，采取不同的处置措施进行处置。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距离项目最近的水体主要为码头区西面的长江，为张家港保税区胜科水务有限公司的纳污河流。公司不得直接向长江及其支流排放废水。当发生突发水体泄露事故时，对长江的影响最大。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（2）应急处置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硫酸、盐酸等强酸大量泄漏时，可借助现场环境，通过挖坑、挖沟、围堵或引流等方式将泄漏物收集起来。建议使用泥土、沙子作为收容材料。也可根据现场实际情况，先用大量水冲洗泄漏物和泄漏地点，冲洗后的废水必须收集起来，集中处理。喷雾状水冷却和稀释蒸气，保护现场人员。用耐腐蚀泵将泄漏物转移至槽车或有盖的专用收集器内，回收或运至废物处理场所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液体毒害物泄漏时，为防止液体向厂外扩散。可采取筑堤堵截泄漏液或者引流到安全地点。贮罐区关闭雨水阀，液体泄漏时可防止物料外流，对于大量泄漏，可选择用隔膜泵将泄漏物料抽入容器内或槽车内；当泄漏量小时，可用沙子吸附材料、中和材料等吸收中和。并将收集的泄漏物运至废物处理场所处置。用消防水冲洗剩下的少量物料，冲洗水排入污水处理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3）现场清理泄漏物料时，将冲洗的污水应排入污水处理系统进行处理；危险固体废弃物交由有资质的单位进行处理；清理时可咨询有关专家，以决定安全和最佳方法后进行，必要时由具备资质的清洗机构清洗。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4）若污水处理站发生故障，自动监测仪显示出水水质浓度较高时应立即外排，把废水暂存到污水事故池中，并且使其情况减产乃至停产，排除事故原因，直至污水处理设施恢复正常，出水达标后方可恢复生产。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当污水外溢污染水域时，及时与水利部门联系暂停有关水闸放水，防止污染水域扩大蔓延；当高浓度污染物已泄漏至外环境进入严字港时，则应立即关闭雨水和污水应急阀门（控制外排总量），并向市政府及相关部门报告启动相关预案，根据水质污染情况，可在严字港的上游（北荫村）和下游（拦门村）所筑水坝进行封堵措施，减小水污染可能影响的范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2、事故废水防堵处理措施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厂区内除各个生产装置区均设有专用缓冲池外，还设有1700m3的事故应急池、200m3的雨水收集池各一座，公司设有事故废水收集管网，雨水排口设自动检测切换强排装置；经取样水质检测合格后，才可启泵泵入保税区雨水管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（1）当物料少量泄漏或消防尾水排放量较小时，首先确认关闭厂区的雨污水控制阀，利用生产车间、罐区四周的地沟、缓冲池收集废液。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事故得到控制后，高浓度废水水质满足污水处理站的设计进水要求的，可经切换阀门排入污水处理站处理达标后接管；若厂内无法处理的高浓度废水单独收集后，委托有资质单位处置。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当物料大量泄漏或消防尾水产生量较大时，首先确认已关闭厂区内的雨污水控制阀；利用生产车间、罐区四周的地沟、缓冲池收集废液，通过水泵和事故废水收集管网将事故废水排入应急事故池内；在事故得到控制后，在事故池内进行泄漏物料的处理处置。根据污染物的特性，选择合适的处置、吸收措施和药剂进行处置，减少污染物排放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通过采取上述处置措施后，可以保证事故废水不流入周边河道。</w:t>
      </w:r>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zh-CN" w:eastAsia="zh-CN" w:bidi="ar-SA"/>
        </w:rPr>
      </w:pPr>
      <w:bookmarkStart w:id="246" w:name="_Toc23519"/>
      <w:r>
        <w:rPr>
          <w:rFonts w:hint="default" w:ascii="Times New Roman" w:hAnsi="Times New Roman" w:eastAsia="仿宋_GB2312" w:cs="Times New Roman"/>
          <w:color w:val="auto"/>
          <w:kern w:val="2"/>
          <w:sz w:val="24"/>
          <w:szCs w:val="24"/>
          <w:lang w:val="en-US" w:eastAsia="zh-CN" w:bidi="ar-SA"/>
        </w:rPr>
        <w:t>7.2.3</w:t>
      </w:r>
      <w:r>
        <w:rPr>
          <w:rFonts w:hint="default" w:ascii="Times New Roman" w:hAnsi="Times New Roman" w:eastAsia="仿宋_GB2312" w:cs="Times New Roman"/>
          <w:color w:val="auto"/>
          <w:kern w:val="2"/>
          <w:sz w:val="24"/>
          <w:szCs w:val="24"/>
          <w:lang w:val="zh-CN" w:eastAsia="zh-CN" w:bidi="ar-SA"/>
        </w:rPr>
        <w:t>地下水、土壤污染事件保护目标的应急措施</w:t>
      </w:r>
      <w:bookmarkEnd w:id="24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47" w:name="7.2.5受伤人员现场救护、救治与医院救治"/>
      <w:bookmarkEnd w:id="247"/>
      <w:bookmarkStart w:id="248" w:name="7.2.5受伤人员现场救护、救治与医院救治"/>
      <w:bookmarkEnd w:id="248"/>
      <w:r>
        <w:rPr>
          <w:rFonts w:hint="eastAsia" w:ascii="Times New Roman" w:hAnsi="Times New Roman" w:eastAsia="仿宋_GB2312" w:cs="Times New Roman"/>
          <w:color w:val="auto"/>
          <w:kern w:val="2"/>
          <w:sz w:val="24"/>
          <w:szCs w:val="24"/>
          <w:lang w:val="zh-CN" w:eastAsia="zh-CN" w:bidi="ar-SA"/>
        </w:rPr>
        <w:t>为了防止因化学品泄漏、渗漏造成土壤及地下水污染，应注意根据其化学危险特性，采取不同的处置措施进行处置：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盐酸、硫酸、液碱等大量泄漏时，可借助现场环境，通过引流方式将泄漏物收集。如用大量水冲洗泄漏物和泄漏地点，冲洗后的废水必须收集起来，用耐腐蚀泵将泄漏物转移至槽车或有盖的专用收集器内，回收或运至废物处理场所处置，以防止其经地表径流通过土壤进入地下水环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液体毒害物泄漏时，贮罐区关闭雨水阀，液体泄漏时可防止物料外流；对于大量泄漏，可选择用泵将泄漏物料抽入容器内或槽车内；当泄漏量小时，可用沙子吸附材料、中和材料等吸收中和，并将收集的泄漏物运至废物处理场所处置。用消防水冲洗剩下的少量物料，冲洗水排入污水处理系统，以防止其经地表径流通过土壤进入地下水环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对大型液体储罐采用安全加固措施，减少罐体发生腐蚀、爆裂的可能性。对其他设施进行全面检查、复核、部分设施重新维护、整改。在各个罐体加设围堰，确保发生泄漏时，污染物不会泄漏至外围环境中。</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（4）现场清理泄漏物料时，将冲洗的污水应排入污水处理系统进行处理；危险固体废弃物交由有资质的单位进行处理，以防止其经地表径流通过土壤进入地下水环境。</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zh-CN" w:eastAsia="zh-CN" w:bidi="ar-SA"/>
        </w:rPr>
      </w:pPr>
      <w:bookmarkStart w:id="249" w:name="_Toc2168"/>
      <w:r>
        <w:rPr>
          <w:rFonts w:hint="default" w:ascii="Times New Roman" w:hAnsi="Times New Roman" w:eastAsia="黑体" w:cs="Times New Roman"/>
          <w:color w:val="auto"/>
          <w:kern w:val="2"/>
          <w:sz w:val="28"/>
          <w:szCs w:val="28"/>
          <w:lang w:val="en-US" w:eastAsia="zh-CN" w:bidi="ar-SA"/>
        </w:rPr>
        <w:t>7.3</w:t>
      </w:r>
      <w:r>
        <w:rPr>
          <w:rFonts w:hint="default" w:ascii="Times New Roman" w:hAnsi="Times New Roman" w:eastAsia="黑体" w:cs="Times New Roman"/>
          <w:color w:val="auto"/>
          <w:kern w:val="2"/>
          <w:sz w:val="28"/>
          <w:szCs w:val="28"/>
          <w:lang w:val="zh-CN" w:eastAsia="zh-CN" w:bidi="ar-SA"/>
        </w:rPr>
        <w:t>应急监测</w:t>
      </w:r>
      <w:bookmarkEnd w:id="249"/>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50" w:name="7.4应急终止"/>
      <w:bookmarkEnd w:id="250"/>
      <w:r>
        <w:rPr>
          <w:rFonts w:hint="eastAsia" w:ascii="Times New Roman" w:hAnsi="Times New Roman" w:eastAsia="仿宋_GB2312" w:cs="Times New Roman"/>
          <w:color w:val="auto"/>
          <w:kern w:val="2"/>
          <w:sz w:val="24"/>
          <w:szCs w:val="24"/>
          <w:lang w:val="zh-CN" w:eastAsia="zh-CN" w:bidi="ar-SA"/>
        </w:rPr>
        <w:t>发生突发环境事件时，安环部立即组织公司监测人员进行企业内部的简单检测，水体污染，应明确污染物是进入了清下水系统、雨水系统还是污水管网，确定目标后在公司内部的排水口进行取样监测。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根据污染程度，如需要时应同时立即通知</w:t>
      </w:r>
      <w:r>
        <w:rPr>
          <w:rFonts w:hint="eastAsia" w:eastAsia="仿宋_GB2312" w:cs="Times New Roman"/>
          <w:color w:val="auto"/>
          <w:kern w:val="2"/>
          <w:sz w:val="24"/>
          <w:szCs w:val="24"/>
          <w:lang w:val="en-US" w:eastAsia="zh-CN" w:bidi="ar-SA"/>
        </w:rPr>
        <w:t>土壤调查及监测</w:t>
      </w:r>
      <w:r>
        <w:rPr>
          <w:rFonts w:hint="eastAsia" w:ascii="Times New Roman" w:hAnsi="Times New Roman" w:eastAsia="仿宋_GB2312" w:cs="Times New Roman"/>
          <w:color w:val="auto"/>
          <w:kern w:val="2"/>
          <w:sz w:val="24"/>
          <w:szCs w:val="24"/>
          <w:lang w:val="zh-CN" w:eastAsia="zh-CN" w:bidi="ar-SA"/>
        </w:rPr>
        <w:t>第三方协议机构（公司已与</w:t>
      </w:r>
      <w:r>
        <w:rPr>
          <w:rFonts w:hint="eastAsia" w:eastAsia="仿宋_GB2312" w:cs="Times New Roman"/>
          <w:color w:val="auto"/>
          <w:kern w:val="2"/>
          <w:sz w:val="24"/>
          <w:szCs w:val="24"/>
          <w:lang w:val="en-US" w:eastAsia="zh-CN" w:bidi="ar-SA"/>
        </w:rPr>
        <w:t>苏州国宇环境科技</w:t>
      </w:r>
      <w:r>
        <w:rPr>
          <w:rFonts w:hint="eastAsia" w:ascii="Times New Roman" w:hAnsi="Times New Roman" w:eastAsia="仿宋_GB2312" w:cs="Times New Roman"/>
          <w:color w:val="auto"/>
          <w:kern w:val="2"/>
          <w:sz w:val="24"/>
          <w:szCs w:val="24"/>
          <w:lang w:val="zh-CN" w:eastAsia="zh-CN" w:bidi="ar-SA"/>
        </w:rPr>
        <w:t>有限公司签订了</w:t>
      </w:r>
      <w:r>
        <w:rPr>
          <w:rFonts w:hint="eastAsia" w:eastAsia="仿宋_GB2312" w:cs="Times New Roman"/>
          <w:color w:val="auto"/>
          <w:kern w:val="2"/>
          <w:sz w:val="24"/>
          <w:szCs w:val="24"/>
          <w:lang w:val="en-US" w:eastAsia="zh-CN" w:bidi="ar-SA"/>
        </w:rPr>
        <w:t>土壤</w:t>
      </w:r>
      <w:r>
        <w:rPr>
          <w:rFonts w:hint="eastAsia" w:ascii="Times New Roman" w:hAnsi="Times New Roman" w:eastAsia="仿宋_GB2312" w:cs="Times New Roman"/>
          <w:color w:val="auto"/>
          <w:kern w:val="2"/>
          <w:sz w:val="24"/>
          <w:szCs w:val="24"/>
          <w:lang w:val="zh-CN" w:eastAsia="zh-CN" w:bidi="ar-SA"/>
        </w:rPr>
        <w:t>应急监测协议），委托其迅速组织监测人员赶赴事件现场，根据实际事故情况，迅速确认选取的监测方案（包括监测布点、频次、项目和方法等），及时开展应急监测工作，在尽可能短的时间内，对污染物种类、浓度、污染范围及可能的危害做出判断，以便对事件及时、正确进行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51" w:name="_Toc387748482"/>
      <w:bookmarkStart w:id="252" w:name="_Toc387765628"/>
      <w:r>
        <w:rPr>
          <w:rFonts w:hint="eastAsia" w:ascii="Times New Roman" w:hAnsi="Times New Roman" w:eastAsia="仿宋_GB2312" w:cs="Times New Roman"/>
          <w:color w:val="auto"/>
          <w:kern w:val="2"/>
          <w:sz w:val="24"/>
          <w:szCs w:val="24"/>
          <w:lang w:val="zh-CN" w:eastAsia="zh-CN" w:bidi="ar-SA"/>
        </w:rPr>
        <w:t>公司应急监测能力及应急监测分工</w:t>
      </w:r>
      <w:bookmarkEnd w:id="251"/>
      <w:bookmarkEnd w:id="25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（1）公司应急监测能力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公司不具备应急监测的能力，水、土壤环境采样和监测均需要委托</w:t>
      </w:r>
      <w:r>
        <w:rPr>
          <w:rFonts w:hint="eastAsia" w:eastAsia="仿宋_GB2312" w:cs="Times New Roman"/>
          <w:color w:val="auto"/>
          <w:kern w:val="2"/>
          <w:sz w:val="24"/>
          <w:szCs w:val="24"/>
          <w:lang w:val="zh-CN" w:eastAsia="zh-CN" w:bidi="ar-SA"/>
        </w:rPr>
        <w:t>苏州国宇环境科技有限公司</w:t>
      </w:r>
      <w:r>
        <w:rPr>
          <w:rFonts w:hint="eastAsia" w:ascii="Times New Roman" w:hAnsi="Times New Roman" w:eastAsia="仿宋_GB2312" w:cs="Times New Roman"/>
          <w:color w:val="auto"/>
          <w:kern w:val="2"/>
          <w:sz w:val="24"/>
          <w:szCs w:val="24"/>
          <w:lang w:val="zh-CN" w:eastAsia="zh-CN" w:bidi="ar-SA"/>
        </w:rPr>
        <w:t>进行。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（2）内部、外部应急监测分工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公司安排专门人员配合监测单位应急监测人员环境监测布点，采样，现场测试等工作。对公司内部的pH在线监测设备、氯气、氨气等浓度报警仪器要定期维护保养，确保监测结果准确可靠。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53" w:name="_Toc387748483"/>
      <w:bookmarkStart w:id="254" w:name="_Toc387765629"/>
      <w:r>
        <w:rPr>
          <w:rFonts w:hint="eastAsia" w:ascii="Times New Roman" w:hAnsi="Times New Roman" w:eastAsia="仿宋_GB2312" w:cs="Times New Roman"/>
          <w:color w:val="auto"/>
          <w:kern w:val="2"/>
          <w:sz w:val="24"/>
          <w:szCs w:val="24"/>
          <w:lang w:val="zh-CN" w:eastAsia="zh-CN" w:bidi="ar-SA"/>
        </w:rPr>
        <w:t>应急监测方案</w:t>
      </w:r>
      <w:bookmarkEnd w:id="253"/>
      <w:bookmarkEnd w:id="25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突发环境事件发生后，公司应急指挥办公室立即与</w:t>
      </w:r>
      <w:r>
        <w:rPr>
          <w:rFonts w:hint="eastAsia" w:eastAsia="仿宋_GB2312" w:cs="Times New Roman"/>
          <w:color w:val="auto"/>
          <w:kern w:val="2"/>
          <w:sz w:val="24"/>
          <w:szCs w:val="24"/>
          <w:lang w:val="zh-CN" w:eastAsia="zh-CN" w:bidi="ar-SA"/>
        </w:rPr>
        <w:t>苏州国宇环境科技有限公司</w:t>
      </w:r>
      <w:r>
        <w:rPr>
          <w:rFonts w:hint="eastAsia" w:ascii="Times New Roman" w:hAnsi="Times New Roman" w:eastAsia="仿宋_GB2312" w:cs="Times New Roman"/>
          <w:color w:val="auto"/>
          <w:kern w:val="2"/>
          <w:sz w:val="24"/>
          <w:szCs w:val="24"/>
          <w:lang w:val="zh-CN" w:eastAsia="zh-CN" w:bidi="ar-SA"/>
        </w:rPr>
        <w:t>联系，在环境监测人员的指导下，按下列应急监测方案（包括监测布点、频次、监测因子和方法等），及时开展针对突发环境事件的应急监测工作，在尽可能短的时间内，对污染物质种类、浓度和污染的范围及其可能的危害作出初步判断，以便对事件能及时、正确的进行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公司制订了环境空气污染和水污染监测方案。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监测方案如下：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zh-CN" w:eastAsia="zh-CN" w:bidi="ar-SA"/>
        </w:rPr>
        <w:t>、地表水污染事故监测方案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监测因子：根据事故风险类型和风险物质选择适当的监测因子，将发生事故的风险物质纳入监测范围，如发生盐酸、硫酸、液氯等泄漏，或氢气等泄漏引起火灾、爆炸等风险事故。</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监测时间和频次：按照事故持续时间决定监测时间，根据事故严重性决定监测频次。一般情况下每小时取样一次。随事故控制减弱，适当减少监测频次。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测点布设：为防止公司消防废水进入外部雨水管网，对附近水体、事故应急池、雨水排放口均应进行监测，水环境监测因子见表 7</w:t>
      </w:r>
      <w:r>
        <w:rPr>
          <w:rFonts w:hint="eastAsia" w:eastAsia="仿宋_GB2312" w:cs="Times New Roman"/>
          <w:color w:val="auto"/>
          <w:kern w:val="2"/>
          <w:sz w:val="24"/>
          <w:szCs w:val="24"/>
          <w:lang w:val="en-US" w:eastAsia="zh-CN" w:bidi="ar-SA"/>
        </w:rPr>
        <w:t>-2</w:t>
      </w:r>
      <w:r>
        <w:rPr>
          <w:rFonts w:hint="eastAsia" w:ascii="Times New Roman" w:hAnsi="Times New Roman" w:eastAsia="仿宋_GB2312" w:cs="Times New Roman"/>
          <w:color w:val="auto"/>
          <w:kern w:val="2"/>
          <w:sz w:val="24"/>
          <w:szCs w:val="24"/>
          <w:lang w:val="zh-CN"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表7</w:t>
      </w:r>
      <w:r>
        <w:rPr>
          <w:rFonts w:hint="eastAsia" w:ascii="Times New Roman" w:hAnsi="Times New Roman" w:eastAsia="黑体" w:cs="Times New Roman"/>
          <w:b/>
          <w:bCs/>
          <w:color w:val="auto"/>
          <w:kern w:val="2"/>
          <w:sz w:val="21"/>
          <w:szCs w:val="21"/>
          <w:lang w:val="en-US" w:eastAsia="zh-CN" w:bidi="ar-SA"/>
        </w:rPr>
        <w:t>-</w:t>
      </w:r>
      <w:r>
        <w:rPr>
          <w:rFonts w:hint="eastAsia" w:eastAsia="黑体" w:cs="Times New Roman"/>
          <w:b/>
          <w:bCs/>
          <w:color w:val="auto"/>
          <w:kern w:val="2"/>
          <w:sz w:val="21"/>
          <w:szCs w:val="21"/>
          <w:lang w:val="en-US" w:eastAsia="zh-CN" w:bidi="ar-SA"/>
        </w:rPr>
        <w:t>2</w:t>
      </w:r>
      <w:r>
        <w:rPr>
          <w:rFonts w:hint="eastAsia" w:ascii="Times New Roman" w:hAnsi="Times New Roman" w:eastAsia="黑体" w:cs="Times New Roman"/>
          <w:b/>
          <w:bCs/>
          <w:color w:val="auto"/>
          <w:kern w:val="2"/>
          <w:sz w:val="21"/>
          <w:szCs w:val="21"/>
          <w:lang w:val="zh-CN" w:eastAsia="zh-CN" w:bidi="ar-SA"/>
        </w:rPr>
        <w:t xml:space="preserve">  水环境监测因子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50"/>
        <w:gridCol w:w="73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3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位置</w:t>
            </w:r>
          </w:p>
        </w:tc>
        <w:tc>
          <w:tcPr>
            <w:tcW w:w="366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3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雨水排口</w:t>
            </w:r>
          </w:p>
        </w:tc>
        <w:tc>
          <w:tcPr>
            <w:tcW w:w="366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特征污染物： 硫酸盐、氯化物</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常规污染物： pH、SS、氨氮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3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事故应急池</w:t>
            </w:r>
          </w:p>
        </w:tc>
        <w:tc>
          <w:tcPr>
            <w:tcW w:w="366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特征污染物： 硫酸盐、氯化物</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常规污染物： pH、SS、氨氮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3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 xml:space="preserve">地表水体：东侧小河 </w:t>
            </w:r>
          </w:p>
        </w:tc>
        <w:tc>
          <w:tcPr>
            <w:tcW w:w="366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特征污染物： 硫酸盐、氯化物</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常规污染物： pH、SS、氨氮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3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地表水体：长江</w:t>
            </w:r>
          </w:p>
        </w:tc>
        <w:tc>
          <w:tcPr>
            <w:tcW w:w="366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特征污染物： 硫酸盐、氯化物</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常规污染物： pH、SS、氨氮</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如果突发环境事件产生的废水进入外环境，须在区域的雨水排放口、废水排放口布设一个断面，排口下游1000m和3000m布设控制断面和削减断面。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eastAsia="仿宋_GB2312" w:cs="Times New Roman"/>
          <w:color w:val="auto"/>
          <w:kern w:val="2"/>
          <w:sz w:val="24"/>
          <w:szCs w:val="24"/>
          <w:lang w:val="en-US" w:eastAsia="zh-CN" w:bidi="ar-SA"/>
        </w:rPr>
        <w:t>2</w:t>
      </w:r>
      <w:r>
        <w:rPr>
          <w:rFonts w:hint="eastAsia" w:ascii="Times New Roman" w:hAnsi="Times New Roman" w:eastAsia="仿宋_GB2312" w:cs="Times New Roman"/>
          <w:color w:val="auto"/>
          <w:kern w:val="2"/>
          <w:sz w:val="24"/>
          <w:szCs w:val="24"/>
          <w:lang w:val="zh-CN" w:eastAsia="zh-CN" w:bidi="ar-SA"/>
        </w:rPr>
        <w:t>、地下水污染事故监测方案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监测因子：根据事故风险类型和风险物质选择适当的监测因子，将发生事故的风险物质纳入监测范围，如发生盐酸、硫酸、液氯等泄漏，应选择pH、硫酸盐、氯化物等为监测因子。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监测时间和频次：按照事故持续时间决定监测时间，根据事故严重性决定监测频次。一般情况下每小时取样一次。随事故控制减弱，适当减少监测频次。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测点布设：对企业泄漏点、西厂界处均应进行监测：</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表7</w:t>
      </w:r>
      <w:r>
        <w:rPr>
          <w:rFonts w:hint="eastAsia" w:ascii="Times New Roman" w:hAnsi="Times New Roman" w:eastAsia="黑体" w:cs="Times New Roman"/>
          <w:b/>
          <w:bCs/>
          <w:color w:val="auto"/>
          <w:kern w:val="2"/>
          <w:sz w:val="21"/>
          <w:szCs w:val="21"/>
          <w:lang w:val="en-US" w:eastAsia="zh-CN" w:bidi="ar-SA"/>
        </w:rPr>
        <w:t>-</w:t>
      </w:r>
      <w:r>
        <w:rPr>
          <w:rFonts w:hint="eastAsia" w:eastAsia="黑体" w:cs="Times New Roman"/>
          <w:b/>
          <w:bCs/>
          <w:color w:val="auto"/>
          <w:kern w:val="2"/>
          <w:sz w:val="21"/>
          <w:szCs w:val="21"/>
          <w:lang w:val="en-US" w:eastAsia="zh-CN" w:bidi="ar-SA"/>
        </w:rPr>
        <w:t>3</w:t>
      </w:r>
      <w:r>
        <w:rPr>
          <w:rFonts w:hint="eastAsia" w:ascii="Times New Roman" w:hAnsi="Times New Roman" w:eastAsia="黑体" w:cs="Times New Roman"/>
          <w:b/>
          <w:bCs/>
          <w:color w:val="auto"/>
          <w:kern w:val="2"/>
          <w:sz w:val="21"/>
          <w:szCs w:val="21"/>
          <w:lang w:val="zh-CN" w:eastAsia="zh-CN" w:bidi="ar-SA"/>
        </w:rPr>
        <w:t xml:space="preserve">  地下水环境监测因子</w:t>
      </w:r>
    </w:p>
    <w:tbl>
      <w:tblPr>
        <w:tblStyle w:val="36"/>
        <w:tblW w:w="480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05"/>
        <w:gridCol w:w="6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71"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位置</w:t>
            </w:r>
          </w:p>
        </w:tc>
        <w:tc>
          <w:tcPr>
            <w:tcW w:w="3429"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7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泄漏点</w:t>
            </w:r>
          </w:p>
        </w:tc>
        <w:tc>
          <w:tcPr>
            <w:tcW w:w="3429" w:type="pct"/>
            <w:vMerge w:val="restar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pH、硫酸盐、氯化物、氨氮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7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西厂界</w:t>
            </w:r>
          </w:p>
        </w:tc>
        <w:tc>
          <w:tcPr>
            <w:tcW w:w="3429" w:type="pct"/>
            <w:vMerge w:val="continue"/>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监测分析方法及方法来源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监测方法见表 7</w:t>
      </w:r>
      <w:r>
        <w:rPr>
          <w:rFonts w:hint="eastAsia" w:eastAsia="仿宋_GB2312" w:cs="Times New Roman"/>
          <w:color w:val="auto"/>
          <w:kern w:val="2"/>
          <w:sz w:val="24"/>
          <w:szCs w:val="24"/>
          <w:lang w:val="en-US" w:eastAsia="zh-CN" w:bidi="ar-SA"/>
        </w:rPr>
        <w:t>-4</w:t>
      </w:r>
      <w:r>
        <w:rPr>
          <w:rFonts w:hint="eastAsia" w:ascii="Times New Roman" w:hAnsi="Times New Roman" w:eastAsia="仿宋_GB2312" w:cs="Times New Roman"/>
          <w:color w:val="auto"/>
          <w:kern w:val="2"/>
          <w:sz w:val="24"/>
          <w:szCs w:val="24"/>
          <w:lang w:val="zh-CN" w:eastAsia="zh-CN" w:bidi="ar-SA"/>
        </w:rPr>
        <w:t>和表 7</w:t>
      </w:r>
      <w:r>
        <w:rPr>
          <w:rFonts w:hint="eastAsia" w:eastAsia="仿宋_GB2312" w:cs="Times New Roman"/>
          <w:color w:val="auto"/>
          <w:kern w:val="2"/>
          <w:sz w:val="24"/>
          <w:szCs w:val="24"/>
          <w:lang w:val="en-US" w:eastAsia="zh-CN" w:bidi="ar-SA"/>
        </w:rPr>
        <w:t>-5</w:t>
      </w:r>
      <w:r>
        <w:rPr>
          <w:rFonts w:hint="eastAsia" w:ascii="Times New Roman" w:hAnsi="Times New Roman" w:eastAsia="仿宋_GB2312" w:cs="Times New Roman"/>
          <w:color w:val="auto"/>
          <w:kern w:val="2"/>
          <w:sz w:val="24"/>
          <w:szCs w:val="24"/>
          <w:lang w:val="zh-CN"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表7</w:t>
      </w:r>
      <w:r>
        <w:rPr>
          <w:rFonts w:hint="eastAsia" w:ascii="Times New Roman" w:hAnsi="Times New Roman" w:eastAsia="黑体" w:cs="Times New Roman"/>
          <w:b/>
          <w:bCs/>
          <w:color w:val="auto"/>
          <w:kern w:val="2"/>
          <w:sz w:val="21"/>
          <w:szCs w:val="21"/>
          <w:lang w:val="en-US" w:eastAsia="zh-CN" w:bidi="ar-SA"/>
        </w:rPr>
        <w:t>-</w:t>
      </w:r>
      <w:r>
        <w:rPr>
          <w:rFonts w:hint="eastAsia" w:eastAsia="黑体" w:cs="Times New Roman"/>
          <w:b/>
          <w:bCs/>
          <w:color w:val="auto"/>
          <w:kern w:val="2"/>
          <w:sz w:val="21"/>
          <w:szCs w:val="21"/>
          <w:lang w:val="en-US" w:eastAsia="zh-CN" w:bidi="ar-SA"/>
        </w:rPr>
        <w:t xml:space="preserve">4 </w:t>
      </w:r>
      <w:r>
        <w:rPr>
          <w:rFonts w:hint="eastAsia" w:ascii="Times New Roman" w:hAnsi="Times New Roman" w:eastAsia="黑体" w:cs="Times New Roman"/>
          <w:b/>
          <w:bCs/>
          <w:color w:val="auto"/>
          <w:kern w:val="2"/>
          <w:sz w:val="21"/>
          <w:szCs w:val="21"/>
          <w:lang w:val="zh-CN" w:eastAsia="zh-CN" w:bidi="ar-SA"/>
        </w:rPr>
        <w:t>大气环境应急监测方法</w:t>
      </w:r>
    </w:p>
    <w:tbl>
      <w:tblPr>
        <w:tblStyle w:val="36"/>
        <w:tblW w:w="49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33"/>
        <w:gridCol w:w="3618"/>
        <w:gridCol w:w="4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监测项目</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现场应急监测方法</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实验室监测方法及出处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SO</w:t>
            </w:r>
            <w:r>
              <w:rPr>
                <w:rFonts w:hint="eastAsia" w:ascii="Times New Roman" w:hAnsi="Times New Roman" w:eastAsia="仿宋" w:cs="Times New Roman"/>
                <w:sz w:val="21"/>
                <w:vertAlign w:val="subscript"/>
                <w:lang w:val="zh-CN" w:eastAsia="zh-CN"/>
              </w:rPr>
              <w:t>2</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气体检测管法</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四氯汞盐-盐酸副玫瑰苯胺比色法(GB8970-88，空气)</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甲醛吸收副玫瑰苯胺分光光度法(GB/T15262-94，空气)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SO</w:t>
            </w:r>
            <w:r>
              <w:rPr>
                <w:rFonts w:hint="eastAsia" w:ascii="Times New Roman" w:hAnsi="Times New Roman" w:eastAsia="仿宋" w:cs="Times New Roman"/>
                <w:sz w:val="21"/>
                <w:vertAlign w:val="subscript"/>
                <w:lang w:val="zh-CN" w:eastAsia="zh-CN"/>
              </w:rPr>
              <w:t>3</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槲皮素比色法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 xml:space="preserve">《空气中有害物质的测定方法》(第二版) </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氯化钡比浊法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《空气中有害物质的测定方法》(第二版)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HCl</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气体检测管法</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硫氰酸汞分光光度法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(HJ/T27-1999，固定污染源排气)</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离子色谱法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《空气和废气监测分析方法》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氨</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溴酚蓝检测管法、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百里酚蓝检测管法</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纳氏试剂比色法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Cl</w:t>
            </w:r>
            <w:r>
              <w:rPr>
                <w:rFonts w:hint="eastAsia" w:ascii="Times New Roman" w:hAnsi="Times New Roman" w:eastAsia="仿宋" w:cs="Times New Roman"/>
                <w:sz w:val="21"/>
                <w:vertAlign w:val="subscript"/>
                <w:lang w:val="zh-CN" w:eastAsia="zh-CN"/>
              </w:rPr>
              <w:t>2</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萤光黄检测管法、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联苯胺指示纸法</w:t>
            </w:r>
          </w:p>
          <w:p>
            <w:pPr>
              <w:pStyle w:val="204"/>
              <w:spacing w:before="1"/>
              <w:ind w:left="318" w:leftChars="0" w:right="271" w:rightChars="0"/>
              <w:rPr>
                <w:rFonts w:hint="eastAsia" w:ascii="Times New Roman" w:hAnsi="Times New Roman" w:eastAsia="仿宋" w:cs="Times New Roman"/>
                <w:sz w:val="21"/>
                <w:lang w:val="zh-CN" w:eastAsia="zh-CN"/>
              </w:rPr>
            </w:pP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甲基橙分光光度法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(HJ/T30-1999，固定污染源排气)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2"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硫酸雾</w:t>
            </w:r>
          </w:p>
        </w:tc>
        <w:tc>
          <w:tcPr>
            <w:tcW w:w="1878"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气体检测管法</w:t>
            </w:r>
          </w:p>
        </w:tc>
        <w:tc>
          <w:tcPr>
            <w:tcW w:w="243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铬酸钡比色法(GB4920-85)</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离子色谱法；二乙胺分光光度法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《空气和废气监测分析方法》</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黑体" w:cs="Times New Roman"/>
          <w:b/>
          <w:bCs/>
          <w:color w:val="auto"/>
          <w:kern w:val="2"/>
          <w:sz w:val="21"/>
          <w:szCs w:val="21"/>
          <w:lang w:val="zh-CN" w:eastAsia="zh-CN" w:bidi="ar-SA"/>
        </w:rPr>
      </w:pPr>
      <w:r>
        <w:rPr>
          <w:rFonts w:hint="eastAsia" w:ascii="Times New Roman" w:hAnsi="Times New Roman" w:eastAsia="黑体" w:cs="Times New Roman"/>
          <w:b/>
          <w:bCs/>
          <w:color w:val="auto"/>
          <w:kern w:val="2"/>
          <w:sz w:val="21"/>
          <w:szCs w:val="21"/>
          <w:lang w:val="zh-CN" w:eastAsia="zh-CN" w:bidi="ar-SA"/>
        </w:rPr>
        <w:t>表7</w:t>
      </w:r>
      <w:r>
        <w:rPr>
          <w:rFonts w:hint="eastAsia" w:ascii="Times New Roman" w:hAnsi="Times New Roman" w:eastAsia="黑体" w:cs="Times New Roman"/>
          <w:b/>
          <w:bCs/>
          <w:color w:val="auto"/>
          <w:kern w:val="2"/>
          <w:sz w:val="21"/>
          <w:szCs w:val="21"/>
          <w:lang w:val="en-US" w:eastAsia="zh-CN" w:bidi="ar-SA"/>
        </w:rPr>
        <w:t>-</w:t>
      </w:r>
      <w:r>
        <w:rPr>
          <w:rFonts w:hint="eastAsia" w:eastAsia="黑体" w:cs="Times New Roman"/>
          <w:b/>
          <w:bCs/>
          <w:color w:val="auto"/>
          <w:kern w:val="2"/>
          <w:sz w:val="21"/>
          <w:szCs w:val="21"/>
          <w:lang w:val="en-US" w:eastAsia="zh-CN" w:bidi="ar-SA"/>
        </w:rPr>
        <w:t>5</w:t>
      </w:r>
      <w:r>
        <w:rPr>
          <w:rFonts w:hint="eastAsia" w:ascii="Times New Roman" w:hAnsi="Times New Roman" w:eastAsia="黑体" w:cs="Times New Roman"/>
          <w:b/>
          <w:bCs/>
          <w:color w:val="auto"/>
          <w:kern w:val="2"/>
          <w:sz w:val="21"/>
          <w:szCs w:val="21"/>
          <w:lang w:val="zh-CN" w:eastAsia="zh-CN" w:bidi="ar-SA"/>
        </w:rPr>
        <w:t xml:space="preserve">  水环境应急监测方法</w:t>
      </w:r>
    </w:p>
    <w:tbl>
      <w:tblPr>
        <w:tblStyle w:val="36"/>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34"/>
        <w:gridCol w:w="2712"/>
        <w:gridCol w:w="56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监测项目</w:t>
            </w:r>
          </w:p>
        </w:tc>
        <w:tc>
          <w:tcPr>
            <w:tcW w:w="1401"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现场应急监测方法</w:t>
            </w:r>
          </w:p>
        </w:tc>
        <w:tc>
          <w:tcPr>
            <w:tcW w:w="2910" w:type="pct"/>
            <w:noWrap w:val="0"/>
            <w:vAlign w:val="center"/>
          </w:tcPr>
          <w:p>
            <w:pPr>
              <w:pStyle w:val="204"/>
              <w:spacing w:before="1"/>
              <w:ind w:left="318" w:leftChars="0" w:right="271" w:rightChars="0"/>
              <w:rPr>
                <w:rFonts w:hint="eastAsia" w:ascii="Times New Roman" w:hAnsi="Times New Roman" w:eastAsia="仿宋" w:cs="Times New Roman"/>
                <w:b/>
                <w:bCs/>
                <w:sz w:val="21"/>
                <w:lang w:val="zh-CN" w:eastAsia="zh-CN"/>
              </w:rPr>
            </w:pPr>
            <w:r>
              <w:rPr>
                <w:rFonts w:hint="eastAsia" w:ascii="Times New Roman" w:hAnsi="Times New Roman" w:eastAsia="仿宋" w:cs="Times New Roman"/>
                <w:b/>
                <w:bCs/>
                <w:sz w:val="21"/>
                <w:lang w:val="zh-CN" w:eastAsia="zh-CN"/>
              </w:rPr>
              <w:t>实验室分析监测方法及方法来源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pH</w:t>
            </w:r>
          </w:p>
        </w:tc>
        <w:tc>
          <w:tcPr>
            <w:tcW w:w="140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便携式 pH 计法</w:t>
            </w:r>
          </w:p>
        </w:tc>
        <w:tc>
          <w:tcPr>
            <w:tcW w:w="291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玻璃电极法（GB6920-86）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9" w:hRule="atLeast"/>
          <w:jc w:val="center"/>
        </w:trPr>
        <w:tc>
          <w:tcPr>
            <w:tcW w:w="68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硫酸盐</w:t>
            </w:r>
          </w:p>
        </w:tc>
        <w:tc>
          <w:tcPr>
            <w:tcW w:w="140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w:t>
            </w:r>
          </w:p>
        </w:tc>
        <w:tc>
          <w:tcPr>
            <w:tcW w:w="291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重量法（GB11899-89）；</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火焰原子吸收分光光度法（GB13196-91）；</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铬酸钡光度法（《水和废水监测分析方法》）；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离子色谱法（HJ/T84-2001）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9" w:hRule="atLeast"/>
          <w:jc w:val="center"/>
        </w:trPr>
        <w:tc>
          <w:tcPr>
            <w:tcW w:w="68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氯化物</w:t>
            </w:r>
          </w:p>
        </w:tc>
        <w:tc>
          <w:tcPr>
            <w:tcW w:w="140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w:t>
            </w:r>
          </w:p>
        </w:tc>
        <w:tc>
          <w:tcPr>
            <w:tcW w:w="291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硝酸银滴定法（GB11899-89）；</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硝酸汞滴定法（《水和废水监测分析方法》）；</w:t>
            </w:r>
          </w:p>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离子色谱法（HJ/T84-2001）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氨氮</w:t>
            </w:r>
          </w:p>
        </w:tc>
        <w:tc>
          <w:tcPr>
            <w:tcW w:w="1401"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w:t>
            </w:r>
          </w:p>
        </w:tc>
        <w:tc>
          <w:tcPr>
            <w:tcW w:w="2910" w:type="pct"/>
            <w:noWrap w:val="0"/>
            <w:vAlign w:val="center"/>
          </w:tcPr>
          <w:p>
            <w:pPr>
              <w:pStyle w:val="204"/>
              <w:spacing w:before="1"/>
              <w:ind w:left="318" w:leftChars="0" w:right="271" w:rightChars="0"/>
              <w:rPr>
                <w:rFonts w:hint="eastAsia" w:ascii="Times New Roman" w:hAnsi="Times New Roman" w:eastAsia="仿宋" w:cs="Times New Roman"/>
                <w:sz w:val="21"/>
                <w:lang w:val="zh-CN" w:eastAsia="zh-CN"/>
              </w:rPr>
            </w:pPr>
            <w:r>
              <w:rPr>
                <w:rFonts w:hint="eastAsia" w:ascii="Times New Roman" w:hAnsi="Times New Roman" w:eastAsia="仿宋" w:cs="Times New Roman"/>
                <w:sz w:val="21"/>
                <w:lang w:val="zh-CN" w:eastAsia="zh-CN"/>
              </w:rPr>
              <w:t>纳氏试剂分光光度法HJ 535-2009</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应急监测人员安全防护措施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现场应急监测分析方案的具体实施均是由张家港市环境监测站应急监测工作者完成的，而每一污染事故都可能危及分析人员的人身安全。为了保护分析人员并有效地实施现场快速分析，在实施应急监测方案之前，还应该配备必要的防护器材，如隔绝式防化服、防火防化服、防毒工作服、酸碱工作服、空气呼吸器、面部防护罩、靴套、防毒手套、头盔、头罩、口罩、气密防护眼镜以及应急灯等。</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zh-CN" w:eastAsia="zh-CN" w:bidi="ar-SA"/>
        </w:rPr>
      </w:pPr>
      <w:bookmarkStart w:id="255" w:name="_Toc6288"/>
      <w:r>
        <w:rPr>
          <w:rFonts w:hint="default" w:ascii="Times New Roman" w:hAnsi="Times New Roman" w:eastAsia="黑体" w:cs="Times New Roman"/>
          <w:color w:val="auto"/>
          <w:kern w:val="2"/>
          <w:sz w:val="28"/>
          <w:szCs w:val="28"/>
          <w:lang w:val="en-US" w:eastAsia="zh-CN" w:bidi="ar-SA"/>
        </w:rPr>
        <w:t>7.4</w:t>
      </w:r>
      <w:r>
        <w:rPr>
          <w:rFonts w:hint="default" w:ascii="Times New Roman" w:hAnsi="Times New Roman" w:eastAsia="黑体" w:cs="Times New Roman"/>
          <w:color w:val="auto"/>
          <w:kern w:val="2"/>
          <w:sz w:val="28"/>
          <w:szCs w:val="28"/>
          <w:lang w:val="zh-CN" w:eastAsia="zh-CN" w:bidi="ar-SA"/>
        </w:rPr>
        <w:t>应急终止</w:t>
      </w:r>
      <w:bookmarkEnd w:id="255"/>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56" w:name="7.4.1应急终止的条件"/>
      <w:bookmarkEnd w:id="256"/>
      <w:bookmarkStart w:id="257" w:name="_bookmark34"/>
      <w:bookmarkEnd w:id="257"/>
      <w:bookmarkStart w:id="258" w:name="7.5应急终止后的行动"/>
      <w:bookmarkEnd w:id="258"/>
      <w:bookmarkStart w:id="259" w:name="7.4.1应急终止的条件"/>
      <w:bookmarkEnd w:id="259"/>
      <w:bookmarkStart w:id="260" w:name="_bookmark34"/>
      <w:bookmarkEnd w:id="260"/>
      <w:r>
        <w:rPr>
          <w:rFonts w:hint="eastAsia" w:ascii="Times New Roman" w:hAnsi="Times New Roman" w:eastAsia="仿宋_GB2312" w:cs="Times New Roman"/>
          <w:color w:val="auto"/>
          <w:kern w:val="2"/>
          <w:sz w:val="24"/>
          <w:szCs w:val="24"/>
          <w:lang w:val="zh-CN" w:eastAsia="zh-CN" w:bidi="ar-SA"/>
        </w:rPr>
        <w:t>当灾害消除后，公司的救援工作进入到另一工作状态，即将现场恢复到一个基本稳定的状态。此时，应急救援办公室终止外部应急服务机构的援助程序，进入现场恢复程序。因在现场恢复的过程中往往仍存在潜在的危险，如余烬复燃、受损建筑倒塌，受压容器存在缺陷等，所以对生产装置、建筑物进行充分评估，确定现场恢复过程中的危险，并制定现场恢复程序，防止二次事件的发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此时应履行如下程序：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（1）应急终止时机由现场应急指挥部确认，经现场应急指挥部批准；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（2）现场应急指挥部向所属各专业应急救援队伍下达应急终止命令；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（3）应急状态终止后，公司委托专门机构进行的应急环境监测继续跟踪监测和评价工作，直至污染影响彻底消除为止。</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zh-CN" w:eastAsia="zh-CN" w:bidi="ar-SA"/>
        </w:rPr>
      </w:pPr>
      <w:bookmarkStart w:id="261" w:name="_Toc13323"/>
      <w:r>
        <w:rPr>
          <w:rFonts w:hint="default" w:ascii="Times New Roman" w:hAnsi="Times New Roman" w:eastAsia="黑体" w:cs="Times New Roman"/>
          <w:color w:val="auto"/>
          <w:kern w:val="2"/>
          <w:sz w:val="28"/>
          <w:szCs w:val="28"/>
          <w:lang w:val="en-US" w:eastAsia="zh-CN" w:bidi="ar-SA"/>
        </w:rPr>
        <w:t>7.5</w:t>
      </w:r>
      <w:r>
        <w:rPr>
          <w:rFonts w:hint="default" w:ascii="Times New Roman" w:hAnsi="Times New Roman" w:eastAsia="黑体" w:cs="Times New Roman"/>
          <w:color w:val="auto"/>
          <w:kern w:val="2"/>
          <w:sz w:val="28"/>
          <w:szCs w:val="28"/>
          <w:lang w:val="zh-CN" w:eastAsia="zh-CN" w:bidi="ar-SA"/>
        </w:rPr>
        <w:t>应急终止后的行动</w:t>
      </w:r>
      <w:bookmarkEnd w:id="26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bookmarkStart w:id="262" w:name="_Toc19366"/>
      <w:r>
        <w:rPr>
          <w:rFonts w:hint="eastAsia" w:ascii="Times New Roman" w:hAnsi="Times New Roman" w:eastAsia="仿宋_GB2312" w:cs="Times New Roman"/>
          <w:color w:val="auto"/>
          <w:kern w:val="2"/>
          <w:sz w:val="24"/>
          <w:szCs w:val="24"/>
          <w:lang w:val="zh-CN" w:eastAsia="zh-CN" w:bidi="ar-SA"/>
        </w:rPr>
        <w:t>（1）通知本单位相关部门、周边企业（或事业）单位、社区、社会关注区及人员事件危险已解除。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（2）对现场中暴露的工作人员、应急行动人员和受污染设备进行清洁净化。</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（3）应急指挥部配合有关部门查找事件原因，防止类似问题的重复出现。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（4）编制突发环境事件总结报告，于应急终止后上报。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（5）根据环境事件的类别，由相关专业主管部门组织对环境应急预案进行评估，并及时修订。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（6）参加应急行动的部门分别组织、指导环境应急救援队伍维护、保养应急仪器设备，使之始终保持良好的技术状态。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（7） 进行环境危害调查与评估，对周边大气环境进行检查，统计周边人员的健康状况。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（8） 对于由于索尔维的环境事件而造成周边人员伤害的，统计伤害程度及范围，对其进行适当经济补偿。</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（9） 根据事件调查结果，对厂区已有的防范措施与应急预案做出评价，指出其有效性和不足之处，提出整改意见。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（10）做出污染危害评估报告，设置应急事件专门记录人员，建立档案和专门报告制度，设专门部门负责管理，并上报当地政府。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在恢复生产前，确保：</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①废弃材料被转移、处理、贮存或以合适方式处置。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②应急设备设施器材完成了消除污染、维护、更新等工作，足以应对下次紧急状态。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③有关生产设备得到维修或更换。</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④被污染场地得到清理或修复。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imes New Roman"/>
          <w:color w:val="auto"/>
          <w:kern w:val="2"/>
          <w:sz w:val="24"/>
          <w:szCs w:val="24"/>
          <w:lang w:val="zh-CN" w:eastAsia="zh-CN" w:bidi="ar-SA"/>
        </w:rPr>
      </w:pPr>
      <w:r>
        <w:rPr>
          <w:rFonts w:hint="eastAsia" w:ascii="Times New Roman" w:hAnsi="Times New Roman" w:eastAsia="仿宋_GB2312" w:cs="Times New Roman"/>
          <w:color w:val="auto"/>
          <w:kern w:val="2"/>
          <w:sz w:val="24"/>
          <w:szCs w:val="24"/>
          <w:lang w:val="zh-CN" w:eastAsia="zh-CN" w:bidi="ar-SA"/>
        </w:rPr>
        <w:t>⑤采取了其他预防事件再次发生的措施。</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bidi="ar-SA"/>
        </w:rPr>
      </w:pPr>
      <w:bookmarkStart w:id="263" w:name="_Toc5636"/>
      <w:r>
        <w:rPr>
          <w:rFonts w:hint="default" w:ascii="Times New Roman" w:hAnsi="Times New Roman" w:eastAsia="黑体" w:cs="Times New Roman"/>
          <w:b/>
          <w:color w:val="auto"/>
          <w:kern w:val="44"/>
          <w:sz w:val="32"/>
          <w:szCs w:val="32"/>
          <w:lang w:val="en-US" w:bidi="ar-SA"/>
        </w:rPr>
        <w:t>第八章 后期处置</w:t>
      </w:r>
      <w:bookmarkEnd w:id="262"/>
      <w:bookmarkEnd w:id="263"/>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64" w:name="8.1 善后处置"/>
      <w:bookmarkEnd w:id="264"/>
      <w:bookmarkStart w:id="265" w:name="_bookmark35"/>
      <w:bookmarkEnd w:id="265"/>
      <w:bookmarkStart w:id="266" w:name="_Toc8773"/>
      <w:bookmarkStart w:id="267" w:name="_Toc19404"/>
      <w:r>
        <w:rPr>
          <w:rFonts w:hint="default" w:ascii="Times New Roman" w:hAnsi="Times New Roman" w:eastAsia="黑体" w:cs="Times New Roman"/>
          <w:color w:val="auto"/>
          <w:kern w:val="2"/>
          <w:sz w:val="28"/>
          <w:szCs w:val="28"/>
          <w:lang w:val="en-US" w:eastAsia="zh-CN" w:bidi="ar-SA"/>
        </w:rPr>
        <w:t>8.1善后处置</w:t>
      </w:r>
      <w:bookmarkEnd w:id="266"/>
      <w:bookmarkEnd w:id="267"/>
    </w:p>
    <w:p>
      <w:pPr>
        <w:snapToGrid w:val="0"/>
        <w:spacing w:line="360" w:lineRule="auto"/>
        <w:ind w:firstLine="480" w:firstLineChars="200"/>
        <w:contextualSpacing/>
        <w:rPr>
          <w:rFonts w:hint="default" w:ascii="Times New Roman" w:hAnsi="Times New Roman" w:eastAsia="仿宋_GB2312" w:cs="Times New Roman"/>
          <w:b w:val="0"/>
          <w:bCs w:val="0"/>
          <w:color w:val="auto"/>
          <w:kern w:val="2"/>
          <w:sz w:val="24"/>
          <w:szCs w:val="24"/>
          <w:lang w:val="zh-CN" w:eastAsia="zh-CN" w:bidi="ar-SA"/>
        </w:rPr>
      </w:pPr>
      <w:bookmarkStart w:id="268" w:name="8.2 保险"/>
      <w:bookmarkEnd w:id="268"/>
      <w:bookmarkStart w:id="269" w:name="_bookmark36"/>
      <w:bookmarkEnd w:id="269"/>
      <w:bookmarkStart w:id="270" w:name="_Toc31480"/>
      <w:r>
        <w:rPr>
          <w:rFonts w:hint="default" w:ascii="Times New Roman" w:hAnsi="Times New Roman" w:eastAsia="仿宋_GB2312" w:cs="Times New Roman"/>
          <w:b w:val="0"/>
          <w:bCs w:val="0"/>
          <w:color w:val="auto"/>
          <w:kern w:val="2"/>
          <w:sz w:val="24"/>
          <w:szCs w:val="24"/>
          <w:lang w:val="zh-CN" w:eastAsia="zh-CN" w:bidi="ar-SA"/>
        </w:rPr>
        <w:t>（1）突发环境事件发生后，要做好受污染区域内群众的思想工作，安定群众情绪，并尽快开展善后处置工作，包括人员安置、补偿、宣传教育等工作。对突发环境事件产生的污染物进行认真收集、清理。由主管领导负责，组织有关部门分析事件原因，汲取事件教训，指挥部要将事件情况进行登记、整理和存档。做好突发环境事件记录和突发环境事件后的交接工作，制订切实可行的防范措施，防止类似事件发生。</w:t>
      </w:r>
    </w:p>
    <w:p>
      <w:pPr>
        <w:snapToGrid w:val="0"/>
        <w:spacing w:line="360" w:lineRule="auto"/>
        <w:ind w:firstLine="480" w:firstLineChars="200"/>
        <w:contextualSpacing/>
        <w:rPr>
          <w:rFonts w:hint="default"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（2）组织有关专家对受灾范围进行科学评估，提出环境污染清除、生态补偿和对遭受污染的生态环境进行恢复的建议，做好疫病防治等工作。</w:t>
      </w:r>
    </w:p>
    <w:p>
      <w:pPr>
        <w:snapToGrid w:val="0"/>
        <w:spacing w:line="360" w:lineRule="auto"/>
        <w:ind w:firstLine="480" w:firstLineChars="200"/>
        <w:rPr>
          <w:rFonts w:hint="eastAsia" w:ascii="Times New Roman" w:hAnsi="Times New Roman" w:eastAsia="仿宋_GB2312" w:cs="Times New Roman"/>
          <w:b w:val="0"/>
          <w:bCs w:val="0"/>
          <w:color w:val="auto"/>
          <w:kern w:val="2"/>
          <w:sz w:val="24"/>
          <w:szCs w:val="24"/>
          <w:lang w:val="zh-CN" w:eastAsia="zh-CN" w:bidi="ar-SA"/>
        </w:rPr>
      </w:pPr>
      <w:r>
        <w:rPr>
          <w:rFonts w:hint="default" w:ascii="Times New Roman" w:hAnsi="Times New Roman" w:eastAsia="仿宋_GB2312" w:cs="Times New Roman"/>
          <w:b w:val="0"/>
          <w:bCs w:val="0"/>
          <w:color w:val="auto"/>
          <w:kern w:val="2"/>
          <w:sz w:val="24"/>
          <w:szCs w:val="24"/>
          <w:lang w:val="zh-CN" w:eastAsia="zh-CN" w:bidi="ar-SA"/>
        </w:rPr>
        <w:t>（3）邻近区域解除事件警戒及善后恢复措施。</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bidi="ar-SA"/>
        </w:rPr>
      </w:pPr>
      <w:bookmarkStart w:id="271" w:name="_Toc27787"/>
      <w:r>
        <w:rPr>
          <w:rFonts w:hint="default" w:ascii="Times New Roman" w:hAnsi="Times New Roman" w:eastAsia="黑体" w:cs="Times New Roman"/>
          <w:color w:val="auto"/>
          <w:kern w:val="2"/>
          <w:sz w:val="28"/>
          <w:szCs w:val="28"/>
          <w:lang w:val="en-US" w:eastAsia="zh-CN" w:bidi="ar-SA"/>
        </w:rPr>
        <w:t>8.2</w:t>
      </w:r>
      <w:r>
        <w:rPr>
          <w:rFonts w:hint="default" w:ascii="Times New Roman" w:hAnsi="Times New Roman" w:eastAsia="黑体" w:cs="Times New Roman"/>
          <w:color w:val="auto"/>
          <w:kern w:val="2"/>
          <w:sz w:val="28"/>
          <w:szCs w:val="28"/>
          <w:lang w:val="en-US" w:bidi="ar-SA"/>
        </w:rPr>
        <w:t>保险</w:t>
      </w:r>
      <w:bookmarkEnd w:id="270"/>
      <w:bookmarkEnd w:id="271"/>
    </w:p>
    <w:p>
      <w:pPr>
        <w:snapToGrid w:val="0"/>
        <w:spacing w:line="360" w:lineRule="auto"/>
        <w:ind w:firstLine="480" w:firstLineChars="200"/>
        <w:contextualSpacing/>
        <w:rPr>
          <w:rFonts w:hint="eastAsia" w:ascii="Times New Roman" w:hAnsi="Times New Roman" w:eastAsia="仿宋_GB2312" w:cs="Times New Roman"/>
          <w:b w:val="0"/>
          <w:bCs w:val="0"/>
          <w:color w:val="auto"/>
          <w:kern w:val="2"/>
          <w:sz w:val="24"/>
          <w:szCs w:val="24"/>
          <w:lang w:val="zh-CN" w:eastAsia="zh-CN" w:bidi="ar-SA"/>
        </w:rPr>
      </w:pPr>
      <w:bookmarkStart w:id="272" w:name="_Toc31710"/>
      <w:r>
        <w:rPr>
          <w:rFonts w:hint="eastAsia" w:ascii="Times New Roman" w:hAnsi="Times New Roman" w:eastAsia="仿宋_GB2312" w:cs="Times New Roman"/>
          <w:b w:val="0"/>
          <w:bCs w:val="0"/>
          <w:color w:val="auto"/>
          <w:kern w:val="2"/>
          <w:sz w:val="24"/>
          <w:szCs w:val="24"/>
          <w:lang w:val="zh-CN" w:eastAsia="zh-CN" w:bidi="ar-SA"/>
        </w:rPr>
        <w:t>我公司已购买环境污染责任险；并为员工办理保险为：养老保险，医疗保险，工伤保险和失业保险。发生重大环境事件后，受灾人员应当视为工伤，享受工伤保险。</w:t>
      </w:r>
    </w:p>
    <w:p>
      <w:pPr>
        <w:snapToGrid w:val="0"/>
        <w:spacing w:line="360" w:lineRule="auto"/>
        <w:ind w:firstLine="480" w:firstLineChars="200"/>
        <w:contextualSpacing/>
        <w:rPr>
          <w:rFonts w:hint="default"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为具有应急救援任务的应急救援人员办理意外伤害保险，以防在救援时受到意外伤害，确保救援人员的安全</w:t>
      </w:r>
      <w:r>
        <w:rPr>
          <w:rFonts w:hint="default" w:ascii="Times New Roman" w:hAnsi="Times New Roman" w:eastAsia="仿宋_GB2312" w:cs="Times New Roman"/>
          <w:b w:val="0"/>
          <w:bCs w:val="0"/>
          <w:color w:val="auto"/>
          <w:kern w:val="2"/>
          <w:sz w:val="24"/>
          <w:szCs w:val="24"/>
          <w:lang w:val="zh-CN" w:eastAsia="zh-CN" w:bidi="ar-SA"/>
        </w:rPr>
        <w:t>。</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cs="Times New Roman"/>
          <w:b/>
          <w:sz w:val="20"/>
        </w:rPr>
      </w:pPr>
      <w:bookmarkStart w:id="273" w:name="_Toc1149"/>
      <w:r>
        <w:rPr>
          <w:rFonts w:hint="default" w:ascii="Times New Roman" w:hAnsi="Times New Roman" w:eastAsia="黑体" w:cs="Times New Roman"/>
          <w:b/>
          <w:color w:val="auto"/>
          <w:kern w:val="44"/>
          <w:sz w:val="32"/>
          <w:szCs w:val="32"/>
          <w:lang w:val="en-US" w:bidi="ar-SA"/>
        </w:rPr>
        <w:t>第九章 应急培训和演练</w:t>
      </w:r>
      <w:bookmarkEnd w:id="272"/>
      <w:bookmarkEnd w:id="273"/>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bookmarkStart w:id="274" w:name="_Toc225244073"/>
      <w:bookmarkStart w:id="275" w:name="_Toc373245388"/>
      <w:bookmarkStart w:id="276" w:name="_Toc29907"/>
      <w:bookmarkStart w:id="277" w:name="_Toc224965895"/>
      <w:r>
        <w:rPr>
          <w:rFonts w:hint="eastAsia" w:ascii="Times New Roman" w:hAnsi="Times New Roman" w:eastAsia="仿宋_GB2312" w:cs="Times New Roman"/>
          <w:b w:val="0"/>
          <w:bCs w:val="0"/>
          <w:color w:val="auto"/>
          <w:kern w:val="2"/>
          <w:sz w:val="24"/>
          <w:szCs w:val="24"/>
          <w:lang w:val="zh-CN" w:eastAsia="zh-CN" w:bidi="ar-SA"/>
        </w:rPr>
        <w:t>公司制定的应急预案为发生事件时的指导性文件，它必须以公司定期组织和进行的应急培训和演练为支撑，否则预案只能成为无源之水、无本之木，起不到其应有的作用；发生事件时也不可能得到有效处理，因此，公司必须重视员工的应急培训和演练工作，落实时间、人员、经费等具体问题。因此，公司进行的应急培训和演练以可能发生的突发环境事件为重点开展培训和演练工作，以提高发生事件时的应急处置能力，减少事件损失，降低事件造成的影响。</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另外，只有通过不断的培训和演练，才能发现实际处置过程中有哪些需要加以注意，才能发现预案中存在的不足与问题，有利于预案的修订、持续改进与完善。</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78" w:name="_Toc19654"/>
      <w:r>
        <w:rPr>
          <w:rFonts w:hint="default" w:ascii="Times New Roman" w:hAnsi="Times New Roman" w:eastAsia="黑体" w:cs="Times New Roman"/>
          <w:color w:val="auto"/>
          <w:kern w:val="2"/>
          <w:sz w:val="28"/>
          <w:szCs w:val="28"/>
          <w:lang w:val="en-US" w:eastAsia="zh-CN" w:bidi="ar-SA"/>
        </w:rPr>
        <w:t>9.1 应急培训</w:t>
      </w:r>
      <w:bookmarkEnd w:id="274"/>
      <w:bookmarkEnd w:id="275"/>
      <w:bookmarkEnd w:id="276"/>
      <w:bookmarkEnd w:id="277"/>
      <w:bookmarkEnd w:id="278"/>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依据对本企业单位员工、周边工厂企业、人员情况的分析结果，明确培训如下内容：本公司事件应急救援和突发环境事件处理的人员培训分二个层次开展。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1、车间班组级</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车间班组级是及时处理事件、紧急避险、自救互救的重要环节，同时也是事件及早发现、及时上报的关键，一般危险化学品事件在这一层次上能够及时处理而避免，对班组职工开展事件应急处理培训非常重要。每半年开展一次，培训内容：</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⑴ 针对各岗位可能发生的环境事件，在紧急情况下如何进行紧急停车、避险、报警的方法；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⑵ 针对各岗位可能导致人员伤害类别，现场进行紧急救护方法。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⑶ 针对各岗位可能发生的事件，如何采取有效措施控制事件和避免事件扩大化。</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⑷ 针对可能发生的事件应急救援必须使用的防护装备，学会使用方法。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⑸ 针对可能发生的事件学习消防器材和各类设备的使用方法。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⑹ 掌握车间存在危险化学品特性、健康危害、危险性、急救方法。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2、公司级</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由应急救援队队员组成，队员能够熟练使用现场装备、设施等对事件进行可靠控制。它是应急救援的指挥部与操作者之间的联系，同时也是事件得到及时可靠处理的关键。每年最少进行一次，培训内容：</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⑴ 包括班组级培训所有内容。</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⑵ 掌握应急救援预案，发生事件时按照预案有条不紊地组织应急救援。</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⑶ 针对车间生产实际情况，熟悉如何有效控制事件，避免事件失控和扩大化。</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⑷ 各部门依据应急救援的职责和分工开展工作。</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⑸ 组织应急物资的调运。</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⑹ 申请外部救援力量的报警方法，以及发布事件消息，组织周边社区、政府部门的疏散方法等；</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⑺ 事件现场的警戒和隔离，以及事件现场的洗消方法。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同时，企业需要通过企业宣传栏宣传等方式对职工进行应急响应知识的宣传。</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79" w:name="_Toc373245389"/>
      <w:bookmarkStart w:id="280" w:name="_Toc224965896"/>
      <w:bookmarkStart w:id="281" w:name="_Toc225244074"/>
      <w:bookmarkStart w:id="282" w:name="_Toc4415"/>
      <w:bookmarkStart w:id="283" w:name="_Toc1916"/>
      <w:r>
        <w:rPr>
          <w:rFonts w:hint="default" w:ascii="Times New Roman" w:hAnsi="Times New Roman" w:eastAsia="黑体" w:cs="Times New Roman"/>
          <w:color w:val="auto"/>
          <w:kern w:val="2"/>
          <w:sz w:val="28"/>
          <w:szCs w:val="28"/>
          <w:lang w:val="en-US" w:eastAsia="zh-CN" w:bidi="ar-SA"/>
        </w:rPr>
        <w:t>9.2演练</w:t>
      </w:r>
      <w:bookmarkEnd w:id="279"/>
      <w:bookmarkEnd w:id="280"/>
      <w:bookmarkEnd w:id="281"/>
      <w:bookmarkEnd w:id="282"/>
      <w:bookmarkEnd w:id="283"/>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公司每年至少组织一次模拟演练。把指挥机构和救援队伍训练成一支思想好、技术精、作风硬的指挥班子和抢救队伍。一旦发生事故，指挥机构能正确指挥，各救援队伍能根据各自任务及时有效地排除险情、控制并消灭事故、抢救伤员，做好应急救援工作。每年年底根据实际情况编制下年的演练计划。配合政府部门开展的演练服从政府的安排。</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演练由公司应急指挥机构组织进行，各相关部门参加。</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与政府有关部门的联合演练，由政府有关部门组织进行，公司应急指挥机构领导参加，相关部门人员参加配合。通过定期演练不断总结完善预案。</w:t>
      </w:r>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en-US" w:eastAsia="zh-CN" w:bidi="ar-SA"/>
        </w:rPr>
      </w:pPr>
      <w:bookmarkStart w:id="284" w:name="_Toc4314"/>
      <w:r>
        <w:rPr>
          <w:rFonts w:hint="default" w:ascii="Times New Roman" w:hAnsi="Times New Roman" w:eastAsia="仿宋_GB2312" w:cs="Times New Roman"/>
          <w:color w:val="auto"/>
          <w:kern w:val="2"/>
          <w:sz w:val="24"/>
          <w:szCs w:val="24"/>
          <w:lang w:val="en-US" w:eastAsia="zh-CN" w:bidi="ar-SA"/>
        </w:rPr>
        <w:t>9.2.1演练</w:t>
      </w:r>
      <w:r>
        <w:rPr>
          <w:rFonts w:hint="eastAsia" w:eastAsia="仿宋_GB2312" w:cs="Times New Roman"/>
          <w:color w:val="auto"/>
          <w:kern w:val="2"/>
          <w:sz w:val="24"/>
          <w:szCs w:val="24"/>
          <w:lang w:val="en-US" w:eastAsia="zh-CN" w:bidi="ar-SA"/>
        </w:rPr>
        <w:t>准备</w:t>
      </w:r>
      <w:bookmarkEnd w:id="284"/>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演练应制订演练方案，按演练级别报应急指挥负责人审批；</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演练前应落实所需的各种器材装备与物资、交通车辆、防护器材的准备，以确保演练顺利进行；</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演练前应通知周边社区、企业人员，必要时与新闻媒体沟通，以避免造成不必要的影响。</w:t>
      </w:r>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en-US" w:eastAsia="zh-CN" w:bidi="ar-SA"/>
        </w:rPr>
      </w:pPr>
      <w:bookmarkStart w:id="285" w:name="_Toc11179"/>
      <w:r>
        <w:rPr>
          <w:rFonts w:hint="default" w:ascii="Times New Roman" w:hAnsi="Times New Roman" w:eastAsia="仿宋_GB2312" w:cs="Times New Roman"/>
          <w:color w:val="auto"/>
          <w:kern w:val="2"/>
          <w:sz w:val="24"/>
          <w:szCs w:val="24"/>
          <w:lang w:val="en-US" w:eastAsia="zh-CN" w:bidi="ar-SA"/>
        </w:rPr>
        <w:t>9.2.2演练范围与频次</w:t>
      </w:r>
      <w:bookmarkEnd w:id="285"/>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公司级演练以多个应急小组之间或某些外部应急组织之间相互协调进行的演练与公司级预案全部或部分功能的综合演练，演练频次每年至少 1 次。与政府有关部门的演练，视政府组织频次情况确定。</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演练内容如下：</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（1）全体救援人员紧急集合到紧急集合点；</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（2）掌握应急救援预案，事故时有条不紊地组织应急救援行动；</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（3）熟悉如何有效控制事故，避免事故失控和扩大化；</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（4）各部门依据应急救援的职责和分工开展工作；</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（5）组织应急物资的调运；</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（6）申请外部救援力量的报警方法，以及发布事故消息，组织周边社区、政府部门的疏散方法等；</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（7）事故现场的警戒和隔离，以及事故现场的洗消方法；</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（8）演练完成后，进行总结，找出存在的问题，持续改进提高。</w:t>
      </w:r>
    </w:p>
    <w:p>
      <w:pPr>
        <w:pStyle w:val="6"/>
        <w:autoSpaceDE/>
        <w:autoSpaceDN/>
        <w:spacing w:before="65" w:beforeLines="20" w:after="65" w:afterLines="20" w:line="360" w:lineRule="auto"/>
        <w:ind w:left="0" w:right="0"/>
        <w:jc w:val="left"/>
        <w:rPr>
          <w:rFonts w:hint="default" w:eastAsia="仿宋_GB2312" w:cs="Times New Roman"/>
          <w:color w:val="auto"/>
          <w:kern w:val="2"/>
          <w:sz w:val="24"/>
          <w:szCs w:val="24"/>
          <w:lang w:val="en-US" w:eastAsia="zh-CN" w:bidi="ar-SA"/>
        </w:rPr>
      </w:pPr>
      <w:bookmarkStart w:id="286" w:name="_Toc19498"/>
      <w:r>
        <w:rPr>
          <w:rFonts w:hint="default" w:ascii="Times New Roman" w:hAnsi="Times New Roman" w:eastAsia="仿宋_GB2312" w:cs="Times New Roman"/>
          <w:color w:val="auto"/>
          <w:kern w:val="2"/>
          <w:sz w:val="24"/>
          <w:szCs w:val="24"/>
          <w:lang w:val="en-US" w:eastAsia="zh-CN" w:bidi="ar-SA"/>
        </w:rPr>
        <w:t>9.2.3</w:t>
      </w:r>
      <w:r>
        <w:rPr>
          <w:rFonts w:hint="eastAsia" w:eastAsia="仿宋_GB2312" w:cs="Times New Roman"/>
          <w:color w:val="auto"/>
          <w:kern w:val="2"/>
          <w:sz w:val="24"/>
          <w:szCs w:val="24"/>
          <w:lang w:val="en-US" w:eastAsia="zh-CN" w:bidi="ar-SA"/>
        </w:rPr>
        <w:t>应急演练回顾与改进回顾与改进</w:t>
      </w:r>
      <w:bookmarkEnd w:id="286"/>
    </w:p>
    <w:p>
      <w:pPr>
        <w:autoSpaceDE w:val="0"/>
        <w:autoSpaceDN w:val="0"/>
        <w:spacing w:line="360" w:lineRule="auto"/>
        <w:ind w:firstLine="480" w:firstLineChars="200"/>
        <w:rPr>
          <w:rFonts w:eastAsia="仿宋_GB2312" w:cs="Times New Roman"/>
          <w:color w:val="auto"/>
          <w:lang w:val="zh-CN"/>
        </w:rPr>
      </w:pPr>
      <w:bookmarkStart w:id="287" w:name="第十章  奖惩"/>
      <w:bookmarkEnd w:id="287"/>
      <w:bookmarkStart w:id="288" w:name="_Toc13855"/>
      <w:r>
        <w:rPr>
          <w:rFonts w:hint="eastAsia" w:eastAsia="仿宋_GB2312" w:cs="Times New Roman"/>
          <w:color w:val="auto"/>
          <w:lang w:val="zh-CN"/>
        </w:rPr>
        <w:t>2020年7月15日公司对《双狮（张家港）精细化工有限公司突发环境应急预案（第二版）》进行了演练，演练主题是《液氯槽车充装臂氯气泄漏应急救援演练》。</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应急演练总结改进：</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这次演练无论从演练方案设计、程序安排、内容分配,还是从演练实际进程看，演练的组织和进行均基本成功。为公司应急管理工作积累了一定的经验,也积累了对突发事故进行救援和控制的实际经验。</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虽然现场演练取得了圆满成功，但通过演练也暴露出了一些问题，如预案还存在缺乏针对性、实用性和可操作性的缺陷，具体主要反映在以下几个方面：</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1、救援处置装备保障不足。如应对危险化学品事故必须采用的是橡胶手套，而公司使用的是普通布手套。</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2、个人防护能力不强。从演练情况看，参演抢险人员的个人防护装备不足、个人防护意识不强，甚至有人嫌热，没穿戴手套进进去模拟抢险。</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3、部分应急预案章节尚不完善。从演练方案设计、构思，到演练实际展开，均暴露出公司编制的部分预案存在不足之处（如需明确向有关单位发出请求支援的方式和内容），有待于进一步修改、补充、完善。</w:t>
      </w:r>
    </w:p>
    <w:p>
      <w:pPr>
        <w:autoSpaceDE w:val="0"/>
        <w:autoSpaceDN w:val="0"/>
        <w:spacing w:line="360" w:lineRule="auto"/>
        <w:ind w:firstLine="480" w:firstLineChars="200"/>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4、应急演练的环境针对性不强，如事故抢险结束后，未模拟向周围可能受影响的居民、单位和相关政府部门进行告知和报告，有待于进一步修改、完善。</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bidi="ar-SA"/>
        </w:rPr>
      </w:pPr>
      <w:bookmarkStart w:id="289" w:name="_Toc5828"/>
      <w:r>
        <w:rPr>
          <w:rFonts w:hint="default" w:ascii="Times New Roman" w:hAnsi="Times New Roman" w:eastAsia="黑体" w:cs="Times New Roman"/>
          <w:b/>
          <w:color w:val="auto"/>
          <w:kern w:val="44"/>
          <w:sz w:val="32"/>
          <w:szCs w:val="32"/>
          <w:lang w:val="en-US" w:bidi="ar-SA"/>
        </w:rPr>
        <w:t>第十章</w:t>
      </w:r>
      <w:r>
        <w:rPr>
          <w:rFonts w:hint="default" w:ascii="Times New Roman" w:hAnsi="Times New Roman" w:eastAsia="黑体" w:cs="Times New Roman"/>
          <w:b/>
          <w:color w:val="auto"/>
          <w:kern w:val="44"/>
          <w:sz w:val="32"/>
          <w:szCs w:val="32"/>
          <w:lang w:val="en-US" w:eastAsia="zh-CN" w:bidi="ar-SA"/>
        </w:rPr>
        <w:t xml:space="preserve"> </w:t>
      </w:r>
      <w:r>
        <w:rPr>
          <w:rFonts w:hint="default" w:ascii="Times New Roman" w:hAnsi="Times New Roman" w:eastAsia="黑体" w:cs="Times New Roman"/>
          <w:b/>
          <w:color w:val="auto"/>
          <w:kern w:val="44"/>
          <w:sz w:val="32"/>
          <w:szCs w:val="32"/>
          <w:lang w:val="en-US" w:bidi="ar-SA"/>
        </w:rPr>
        <w:t>奖惩</w:t>
      </w:r>
      <w:bookmarkEnd w:id="288"/>
      <w:bookmarkEnd w:id="2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kern w:val="2"/>
          <w:sz w:val="24"/>
          <w:szCs w:val="24"/>
          <w:lang w:val="en-US" w:eastAsia="zh-CN" w:bidi="ar-SA"/>
        </w:rPr>
      </w:pPr>
      <w:r>
        <w:rPr>
          <w:rFonts w:hint="eastAsia" w:ascii="Times New Roman" w:hAnsi="Times New Roman" w:eastAsia="仿宋_GB2312" w:cs="Times New Roman"/>
          <w:b w:val="0"/>
          <w:bCs w:val="0"/>
          <w:color w:val="auto"/>
          <w:kern w:val="2"/>
          <w:sz w:val="24"/>
          <w:szCs w:val="24"/>
          <w:lang w:val="zh-CN" w:eastAsia="zh-CN" w:bidi="ar-SA"/>
        </w:rPr>
        <w:t>根据员工在突发环境事故中的责任以及在抢险过程中的表现，按照公司现有相关的表彰和惩处规则分别进行表彰和惩处。</w:t>
      </w:r>
    </w:p>
    <w:p>
      <w:pPr>
        <w:pStyle w:val="3"/>
        <w:keepNext/>
        <w:keepLines/>
        <w:pageBreakBefore/>
        <w:widowControl w:val="0"/>
        <w:kinsoku/>
        <w:wordWrap/>
        <w:overflowPunct/>
        <w:topLinePunct w:val="0"/>
        <w:autoSpaceDE/>
        <w:autoSpaceDN/>
        <w:bidi w:val="0"/>
        <w:adjustRightInd/>
        <w:snapToGrid/>
        <w:spacing w:before="489" w:beforeLines="150" w:after="326" w:afterLines="100" w:line="360" w:lineRule="auto"/>
        <w:ind w:left="0" w:right="0" w:firstLine="0"/>
        <w:jc w:val="center"/>
        <w:textAlignment w:val="auto"/>
        <w:outlineLvl w:val="0"/>
        <w:rPr>
          <w:rFonts w:hint="default" w:ascii="Times New Roman" w:hAnsi="Times New Roman" w:eastAsia="黑体" w:cs="Times New Roman"/>
          <w:b/>
          <w:color w:val="auto"/>
          <w:kern w:val="44"/>
          <w:sz w:val="32"/>
          <w:szCs w:val="32"/>
          <w:lang w:val="en-US" w:bidi="ar-SA"/>
        </w:rPr>
      </w:pPr>
      <w:bookmarkStart w:id="290" w:name="第十一章  保障措施"/>
      <w:bookmarkEnd w:id="290"/>
      <w:bookmarkStart w:id="291" w:name="_Toc30384"/>
      <w:bookmarkStart w:id="292" w:name="_Toc30178"/>
      <w:r>
        <w:rPr>
          <w:rFonts w:hint="default" w:ascii="Times New Roman" w:hAnsi="Times New Roman" w:eastAsia="黑体" w:cs="Times New Roman"/>
          <w:b/>
          <w:color w:val="auto"/>
          <w:kern w:val="44"/>
          <w:sz w:val="32"/>
          <w:szCs w:val="32"/>
          <w:lang w:val="en-US" w:eastAsia="zh-CN" w:bidi="ar-SA"/>
        </w:rPr>
        <w:t>第十一章 保障措施</w:t>
      </w:r>
      <w:bookmarkEnd w:id="291"/>
      <w:bookmarkEnd w:id="292"/>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293" w:name="_Toc373245395"/>
      <w:bookmarkStart w:id="294" w:name="_Toc105298880"/>
      <w:bookmarkStart w:id="295" w:name="_Toc22345"/>
      <w:bookmarkStart w:id="296" w:name="_Toc4664"/>
      <w:r>
        <w:rPr>
          <w:rFonts w:hint="default" w:ascii="Times New Roman" w:hAnsi="Times New Roman" w:eastAsia="黑体" w:cs="Times New Roman"/>
          <w:color w:val="auto"/>
          <w:kern w:val="2"/>
          <w:sz w:val="28"/>
          <w:szCs w:val="28"/>
          <w:lang w:val="en-US" w:eastAsia="zh-CN" w:bidi="ar-SA"/>
        </w:rPr>
        <w:t>11.1 内部保障</w:t>
      </w:r>
      <w:bookmarkEnd w:id="293"/>
      <w:bookmarkEnd w:id="294"/>
      <w:bookmarkEnd w:id="295"/>
      <w:bookmarkEnd w:id="296"/>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en-US" w:eastAsia="zh-CN" w:bidi="ar-SA"/>
        </w:rPr>
      </w:pPr>
      <w:bookmarkStart w:id="297" w:name="_Toc27864"/>
      <w:bookmarkStart w:id="298" w:name="_Toc373245396"/>
      <w:bookmarkStart w:id="299" w:name="_Toc105298881"/>
      <w:r>
        <w:rPr>
          <w:rFonts w:hint="default" w:ascii="Times New Roman" w:hAnsi="Times New Roman" w:eastAsia="仿宋_GB2312" w:cs="Times New Roman"/>
          <w:color w:val="auto"/>
          <w:kern w:val="2"/>
          <w:sz w:val="24"/>
          <w:szCs w:val="24"/>
          <w:lang w:val="en-US" w:eastAsia="zh-CN" w:bidi="ar-SA"/>
        </w:rPr>
        <w:t>11.1.1</w:t>
      </w:r>
      <w:r>
        <w:rPr>
          <w:rFonts w:hint="eastAsia" w:ascii="Times New Roman" w:hAnsi="Times New Roman" w:eastAsia="仿宋_GB2312" w:cs="Times New Roman"/>
          <w:color w:val="auto"/>
          <w:kern w:val="2"/>
          <w:sz w:val="24"/>
          <w:szCs w:val="24"/>
          <w:lang w:val="en-US" w:eastAsia="zh-CN" w:bidi="ar-SA"/>
        </w:rPr>
        <w:t>应急物资、应急设施保障</w:t>
      </w:r>
      <w:bookmarkEnd w:id="2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bookmarkStart w:id="300" w:name="11.1.2应急物资、装备保证"/>
      <w:bookmarkEnd w:id="300"/>
      <w:bookmarkStart w:id="301" w:name="11.1.2应急物资、装备保证"/>
      <w:bookmarkEnd w:id="301"/>
      <w:r>
        <w:rPr>
          <w:rFonts w:hint="eastAsia" w:ascii="Times New Roman" w:hAnsi="Times New Roman" w:eastAsia="仿宋_GB2312" w:cs="Times New Roman"/>
          <w:b w:val="0"/>
          <w:bCs w:val="0"/>
          <w:color w:val="auto"/>
          <w:kern w:val="2"/>
          <w:sz w:val="24"/>
          <w:szCs w:val="24"/>
          <w:lang w:val="zh-CN" w:eastAsia="zh-CN" w:bidi="ar-SA"/>
        </w:rPr>
        <w:t>公司指定专人对应急物资、应急设施进行管理、检查、维护和保养。的应急物资、应急设施每个月进行一次检查，确保设施完好，并做好记录；消防器材、报警设施每月进行点检，并做好记录，点检过程中发现设施故障时，请维修人员进行维修或请物资供应组购买新的物资进行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公司在罐区、生产车间等场所设置了泄漏液体缓冲池，配备了泄漏堵漏工具、收集等应急设施及物资，并按规定放在适当的位置，并作明显的标识；紧急情况下，可以进行有效救援。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公司设置了1700 立方米的事故应急池，雨水口装有自动泵和双管路。事故发生时，可通过缓冲池和雨水管网将事故废水先收集，然后经泵打入污水处理站或事故应急池中。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企业所处地区属于平原地区，废水及废液的收集与输送通过水泵输送，经雨水口装有的自动泵和双管路选择排放的去向。可防止事故废水和受污染的雨水直接排入当地雨水管网，从而进入水体环境。统经事故得到控制后，根据污染物的性质，再进行合理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另外，公司配备了个体防护设备，便于日常和紧急情况下使用，目前厂内配备的个体防护设备主要为防毒面具及防护手套、防护眼镜等，主要储存在车间和罐区附近，便于领取和使用。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 xml:space="preserve">（1）应急资源的维护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应急资源的性能状况直接影响应急工作的绩效，必须做好应急资源的维护工作。将应急资源的维护纳入应急管理的日常工作。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（2）应急期间，由应急指挥领导小组统一调配公司内部应急资源。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（3）公司内应急救援物资不能满足应急需要时，可向当地政府相关主管部门、周边社会救援机构、协议的应急物资承包商、区域联防单位请求援助，调拨物资。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（4）环境安全部对各装置应急救援能力和装备及救援物资进行统计建档，定期检查应急救援装备配备情况。同时保持与互助单位的联系，签订互助协议。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（5）抢救组在接到应急指挥部救援指令后，迅速按应急指挥部要求将所需的物资、设备等，按指定时间送到指定地点。</w:t>
      </w:r>
    </w:p>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zh-CN" w:eastAsia="zh-CN" w:bidi="ar-SA"/>
        </w:rPr>
      </w:pPr>
      <w:bookmarkStart w:id="302" w:name="_Toc30721"/>
      <w:r>
        <w:rPr>
          <w:rFonts w:hint="default" w:ascii="Times New Roman" w:hAnsi="Times New Roman" w:eastAsia="仿宋_GB2312" w:cs="Times New Roman"/>
          <w:color w:val="auto"/>
          <w:kern w:val="2"/>
          <w:sz w:val="24"/>
          <w:szCs w:val="24"/>
          <w:lang w:val="en-US" w:eastAsia="zh-CN" w:bidi="ar-SA"/>
        </w:rPr>
        <w:t>11.1.2</w:t>
      </w:r>
      <w:r>
        <w:rPr>
          <w:rFonts w:hint="default" w:ascii="Times New Roman" w:hAnsi="Times New Roman" w:eastAsia="仿宋_GB2312" w:cs="Times New Roman"/>
          <w:color w:val="auto"/>
          <w:kern w:val="2"/>
          <w:sz w:val="24"/>
          <w:szCs w:val="24"/>
          <w:lang w:val="zh-CN" w:eastAsia="zh-CN" w:bidi="ar-SA"/>
        </w:rPr>
        <w:t>应急</w:t>
      </w:r>
      <w:r>
        <w:rPr>
          <w:rFonts w:hint="eastAsia" w:eastAsia="仿宋_GB2312" w:cs="Times New Roman"/>
          <w:color w:val="auto"/>
          <w:kern w:val="2"/>
          <w:sz w:val="24"/>
          <w:szCs w:val="24"/>
          <w:lang w:val="zh-CN" w:eastAsia="zh-CN" w:bidi="ar-SA"/>
        </w:rPr>
        <w:t>队伍</w:t>
      </w:r>
      <w:r>
        <w:rPr>
          <w:rFonts w:hint="default" w:ascii="Times New Roman" w:hAnsi="Times New Roman" w:eastAsia="仿宋_GB2312" w:cs="Times New Roman"/>
          <w:color w:val="auto"/>
          <w:kern w:val="2"/>
          <w:sz w:val="24"/>
          <w:szCs w:val="24"/>
          <w:lang w:val="zh-CN" w:eastAsia="zh-CN" w:bidi="ar-SA"/>
        </w:rPr>
        <w:t>保证</w:t>
      </w:r>
      <w:bookmarkEnd w:id="30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bookmarkStart w:id="303" w:name="11.1.3应急救援队伍保障"/>
      <w:bookmarkEnd w:id="303"/>
      <w:bookmarkStart w:id="304" w:name="11.1.3应急救援队伍保障"/>
      <w:bookmarkEnd w:id="304"/>
      <w:r>
        <w:rPr>
          <w:rFonts w:hint="eastAsia" w:ascii="Times New Roman" w:hAnsi="Times New Roman" w:eastAsia="仿宋_GB2312" w:cs="Times New Roman"/>
          <w:b w:val="0"/>
          <w:bCs w:val="0"/>
          <w:color w:val="auto"/>
          <w:kern w:val="2"/>
          <w:sz w:val="24"/>
          <w:szCs w:val="24"/>
          <w:lang w:val="zh-CN" w:eastAsia="zh-CN" w:bidi="ar-SA"/>
        </w:rPr>
        <w:t>在应急状态下，应急指挥机构和现场指挥团队对应急队伍进行统一调用。应急队伍应定期进行培训和演练，熟练掌握救援程序、救援器材使用、自我防护措施等，保证在应急情况下能够及时履行职责。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我公司不仅加强了突发环境污染事件应急队伍建设，而且加强了应急救援队伍的业务培训和应急演练，重点培训了一支常备不懈、熟悉悉环境应急知识、充分掌握各类突发环境事件处置措施的应急队伍，保证在突发环境事件发生后，能迅速参与并完成抢救、排险、消毒、监测等现场处置工作。内部各部门建立联动协调机制，提高准备水平，提高其应对突发环境污染事件的素质和能力。</w:t>
      </w:r>
    </w:p>
    <w:bookmarkEnd w:id="298"/>
    <w:bookmarkEnd w:id="299"/>
    <w:p>
      <w:pPr>
        <w:pStyle w:val="6"/>
        <w:autoSpaceDE/>
        <w:autoSpaceDN/>
        <w:spacing w:before="65" w:beforeLines="20" w:after="65" w:afterLines="20" w:line="360" w:lineRule="auto"/>
        <w:ind w:left="0" w:right="0"/>
        <w:jc w:val="left"/>
        <w:rPr>
          <w:rFonts w:hint="default" w:ascii="Times New Roman" w:hAnsi="Times New Roman" w:eastAsia="仿宋_GB2312" w:cs="Times New Roman"/>
          <w:color w:val="auto"/>
          <w:kern w:val="2"/>
          <w:sz w:val="24"/>
          <w:szCs w:val="24"/>
          <w:lang w:val="en-US" w:eastAsia="zh-CN" w:bidi="ar-SA"/>
        </w:rPr>
      </w:pPr>
      <w:bookmarkStart w:id="305" w:name="_Toc18327"/>
      <w:r>
        <w:rPr>
          <w:rFonts w:hint="eastAsia" w:ascii="Times New Roman" w:hAnsi="Times New Roman" w:eastAsia="仿宋_GB2312" w:cs="Times New Roman"/>
          <w:color w:val="auto"/>
          <w:kern w:val="2"/>
          <w:sz w:val="24"/>
          <w:szCs w:val="24"/>
          <w:lang w:val="en-US" w:eastAsia="zh-CN" w:bidi="ar-SA"/>
        </w:rPr>
        <w:t>11.1.3通讯及信息保障</w:t>
      </w:r>
      <w:bookmarkEnd w:id="3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应急救援指挥部总指挥、副总指挥、各应急小组组长以及成员必须 24 小时开通个人手机（联系人及联系方式详见附件），配备必要的有线、无线通信器材，值班电话保持 24 小时通畅，节假日必须安排人员值班。不仅要充分发挥信息网络系统的作用，而且要保证企业内部常规应急通讯设施的正常运行，如电话、对讲机、广播等，并定期进行日常维护，确保应急时能够统一调动有关人员、物资迅速到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整个厂区的电信电缆线路包括电话线路、火灾自动报警系统线路等，各系统的电缆均各自独立，自成系统。整个厂区的报警系统采用消防报警系统、手动报警和电话报警系统相结合方式，并定期进行日常维护，确保本预案启动时应急行动指挥通信的畅通。</w:t>
      </w:r>
    </w:p>
    <w:p>
      <w:pPr>
        <w:pStyle w:val="6"/>
        <w:autoSpaceDE/>
        <w:autoSpaceDN/>
        <w:spacing w:before="65" w:beforeLines="20" w:after="65" w:afterLines="20" w:line="360" w:lineRule="auto"/>
        <w:ind w:left="0" w:right="0"/>
        <w:jc w:val="left"/>
        <w:rPr>
          <w:rFonts w:hint="eastAsia" w:ascii="Times New Roman" w:hAnsi="Times New Roman" w:eastAsia="仿宋_GB2312" w:cs="Times New Roman"/>
          <w:color w:val="auto"/>
          <w:kern w:val="2"/>
          <w:sz w:val="24"/>
          <w:szCs w:val="24"/>
          <w:lang w:val="en-US" w:eastAsia="zh-CN" w:bidi="ar-SA"/>
        </w:rPr>
      </w:pPr>
      <w:bookmarkStart w:id="306" w:name="_Toc32533"/>
      <w:r>
        <w:rPr>
          <w:rFonts w:hint="eastAsia" w:eastAsia="仿宋_GB2312" w:cs="Times New Roman"/>
          <w:color w:val="auto"/>
          <w:kern w:val="2"/>
          <w:sz w:val="24"/>
          <w:szCs w:val="24"/>
          <w:lang w:val="en-US" w:eastAsia="zh-CN" w:bidi="ar-SA"/>
        </w:rPr>
        <w:t>11.1.4</w:t>
      </w:r>
      <w:r>
        <w:rPr>
          <w:rFonts w:hint="eastAsia" w:ascii="Times New Roman" w:hAnsi="Times New Roman" w:eastAsia="仿宋_GB2312" w:cs="Times New Roman"/>
          <w:color w:val="auto"/>
          <w:kern w:val="2"/>
          <w:sz w:val="24"/>
          <w:szCs w:val="24"/>
          <w:lang w:val="en-US" w:eastAsia="zh-CN" w:bidi="ar-SA"/>
        </w:rPr>
        <w:t>经费及其它保障</w:t>
      </w:r>
      <w:bookmarkEnd w:id="3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经费保障：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突发环境事件的应急处理所需经费，包括应急物资、仪器设备、交通车辆、应急咨询、应急演练、人员防护设备、应急办公室运作经费，由我公司环境安全部制订计划预算，报总经理批准后，由财务部支出。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专款专用，公司在每年的年度预算中给予环保部门充分合理的经费用于公司环境保护和环境安全，不断完善环境应急设施，提升公司的环境风险防范能力，保障经费的日常支出和应急状态时应急经费的及时到位。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其他保障：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1、人员安全防护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（1）进入现场的应急人员须佩戴明显的救援标识以及根据危险源特性，佩戴合格的个人防护用品。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（2）事件现场周边人群的安全受到威胁时，应急指挥机构协助当地政府采取疏散、隔离等行动保护公众。需要大量人员疏散和避难，应急指挥机构协助当地政府妥善安置疏散人群。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（3）应急指挥机构协助当地政府部门对突发环境事件现场实行严格管制，无关人员不得进入。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2、技术支持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（1）公司技术专家组对应急处置提供技术支持。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（2）保税区管委会相关专家组成专家组对应急处置提供技术支持。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（3）消防队到场后，应急响应团队应给予他们相应的技术支持。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3、交通运输保障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（1）在应急状态下，应急指挥机构和现场指挥团队可以调动公司内所有车辆。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（2）保持救援道路的通畅。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4、治安保障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公安机关和公司保安负责警戒治安。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5、医疗保障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（1）签订应急救援协议医院，提供人员救治等医疗保障。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（2）接受急救培训的公司医疗小组人员对伤员进行现场急救。</w:t>
      </w:r>
    </w:p>
    <w:p>
      <w:pPr>
        <w:pStyle w:val="4"/>
        <w:keepNext/>
        <w:keepLines/>
        <w:autoSpaceDE/>
        <w:autoSpaceDN/>
        <w:spacing w:before="163" w:beforeLines="50" w:after="163" w:afterLines="50" w:line="360" w:lineRule="auto"/>
        <w:ind w:left="0" w:right="0"/>
        <w:jc w:val="left"/>
        <w:outlineLvl w:val="1"/>
        <w:rPr>
          <w:rFonts w:hint="default" w:ascii="Times New Roman" w:hAnsi="Times New Roman" w:eastAsia="黑体" w:cs="Times New Roman"/>
          <w:color w:val="auto"/>
          <w:kern w:val="2"/>
          <w:sz w:val="28"/>
          <w:szCs w:val="28"/>
          <w:lang w:val="en-US" w:eastAsia="zh-CN" w:bidi="ar-SA"/>
        </w:rPr>
      </w:pPr>
      <w:bookmarkStart w:id="307" w:name="_Toc436833067"/>
      <w:bookmarkStart w:id="308" w:name="_Toc14728"/>
      <w:r>
        <w:rPr>
          <w:rFonts w:hint="eastAsia" w:ascii="Times New Roman" w:hAnsi="Times New Roman" w:eastAsia="黑体" w:cs="Times New Roman"/>
          <w:color w:val="auto"/>
          <w:kern w:val="2"/>
          <w:sz w:val="28"/>
          <w:szCs w:val="28"/>
          <w:lang w:val="en-US" w:eastAsia="zh-CN" w:bidi="ar-SA"/>
        </w:rPr>
        <w:t>11.2外部保障</w:t>
      </w:r>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1、单位互助体系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建设单位和周边企业将建立良好的应急互助关系，在重大事故发生后，能够相互支援。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2、公共援助力量公司还可以联系张家港市保税区消防特勤队、医院、公安、交通以及政府部门，请求救援力量、设备的支持。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3、应急救援信息咨询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外部救援单位联系电话见本公司应急预案。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4、其他相关保障措施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lang w:val="zh-CN" w:eastAsia="zh-CN" w:bidi="ar-SA"/>
        </w:rPr>
      </w:pPr>
      <w:r>
        <w:rPr>
          <w:rFonts w:hint="eastAsia" w:ascii="Times New Roman" w:hAnsi="Times New Roman" w:eastAsia="仿宋_GB2312" w:cs="Times New Roman"/>
          <w:b w:val="0"/>
          <w:bCs w:val="0"/>
          <w:color w:val="auto"/>
          <w:kern w:val="2"/>
          <w:sz w:val="24"/>
          <w:szCs w:val="24"/>
          <w:lang w:val="zh-CN" w:eastAsia="zh-CN" w:bidi="ar-SA"/>
        </w:rPr>
        <w:t>危险废物运输对我公司来说也是至关重要的环节，因此，公司与危废处置单位签订了委托运输协议，运输公司指派专用的车辆、经培训考核的人员作为司机和押运员驾驶和押运危险废物车辆，并配备了泄漏物吸附和收集器材和消防灭火设施，一旦发生事故，可以有效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kern w:val="2"/>
          <w:sz w:val="24"/>
          <w:szCs w:val="24"/>
          <w:lang w:val="en-US" w:eastAsia="zh-CN" w:bidi="ar-SA"/>
        </w:rPr>
      </w:pPr>
    </w:p>
    <w:sectPr>
      <w:pgSz w:w="11906" w:h="16838"/>
      <w:pgMar w:top="1440" w:right="1083" w:bottom="1440" w:left="1083" w:header="851" w:footer="851" w:gutter="0"/>
      <w:pgBorders>
        <w:top w:val="none" w:sz="0" w:space="0"/>
        <w:left w:val="none" w:sz="0" w:space="0"/>
        <w:bottom w:val="none" w:sz="0" w:space="0"/>
        <w:right w:val="none" w:sz="0" w:space="0"/>
      </w:pgBorders>
      <w:pgNumType w:fmt="decimal"/>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華康特粗楷體">
    <w:altName w:val="宋体"/>
    <w:panose1 w:val="00000000000000000000"/>
    <w:charset w:val="88"/>
    <w:family w:val="script"/>
    <w:pitch w:val="default"/>
    <w:sig w:usb0="00000000" w:usb1="00000000" w:usb2="00000010" w:usb3="00000000" w:csb0="00100000" w:csb1="00000000"/>
  </w:font>
  <w:font w:name="華康楷書體W5">
    <w:altName w:val="Microsoft JhengHei"/>
    <w:panose1 w:val="00000000000000000000"/>
    <w:charset w:val="88"/>
    <w:family w:val="modern"/>
    <w:pitch w:val="default"/>
    <w:sig w:usb0="00000000" w:usb1="00000000" w:usb2="00000010" w:usb3="00000000" w:csb0="0010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center"/>
    </w:pP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84172547"/>
                            <w:docPartObj>
                              <w:docPartGallery w:val="autotext"/>
                            </w:docPartObj>
                          </w:sdtPr>
                          <w:sdtContent>
                            <w:p>
                              <w:pPr>
                                <w:pStyle w:val="23"/>
                                <w:jc w:val="center"/>
                              </w:pPr>
                              <w:r>
                                <w:fldChar w:fldCharType="begin"/>
                              </w:r>
                              <w:r>
                                <w:instrText xml:space="preserve">PAGE   \* MERGEFORMAT</w:instrText>
                              </w:r>
                              <w:r>
                                <w:fldChar w:fldCharType="separate"/>
                              </w:r>
                              <w:r>
                                <w:rPr>
                                  <w:lang w:val="zh-CN"/>
                                </w:rPr>
                                <w:t>I</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Tul0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6Tul0VAgAAFwQAAA4AAAAAAAAA&#10;AQAgAAAAHwEAAGRycy9lMm9Eb2MueG1sUEsFBgAAAAAGAAYAWQEAAKYFAAAAAA==&#10;">
              <v:fill on="f" focussize="0,0"/>
              <v:stroke on="f" weight="0.5pt"/>
              <v:imagedata o:title=""/>
              <o:lock v:ext="edit" aspectratio="f"/>
              <v:textbox inset="0mm,0mm,0mm,0mm" style="mso-fit-shape-to-text:t;">
                <w:txbxContent>
                  <w:sdt>
                    <w:sdtPr>
                      <w:id w:val="-1884172547"/>
                      <w:docPartObj>
                        <w:docPartGallery w:val="autotext"/>
                      </w:docPartObj>
                    </w:sdtPr>
                    <w:sdtContent>
                      <w:p>
                        <w:pPr>
                          <w:pStyle w:val="23"/>
                          <w:jc w:val="center"/>
                        </w:pPr>
                        <w:r>
                          <w:fldChar w:fldCharType="begin"/>
                        </w:r>
                        <w:r>
                          <w:instrText xml:space="preserve">PAGE   \* MERGEFORMAT</w:instrText>
                        </w:r>
                        <w:r>
                          <w:fldChar w:fldCharType="separate"/>
                        </w:r>
                        <w:r>
                          <w:rPr>
                            <w:lang w:val="zh-CN"/>
                          </w:rPr>
                          <w:t>I</w:t>
                        </w:r>
                        <w:r>
                          <w:fldChar w:fldCharType="end"/>
                        </w:r>
                      </w:p>
                    </w:sdtContent>
                  </w:sdt>
                  <w:p>
                    <w:pPr>
                      <w:pStyle w:val="2"/>
                    </w:pPr>
                  </w:p>
                </w:txbxContent>
              </v:textbox>
            </v:shape>
          </w:pict>
        </mc:Fallback>
      </mc:AlternateContent>
    </w:r>
  </w:p>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t>76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38870597"/>
                            <w:docPartObj>
                              <w:docPartGallery w:val="autotext"/>
                            </w:docPartObj>
                          </w:sdtPr>
                          <w:sdtContent>
                            <w:p>
                              <w:pPr>
                                <w:pStyle w:val="23"/>
                                <w:jc w:val="center"/>
                              </w:pPr>
                              <w:r>
                                <w:fldChar w:fldCharType="begin"/>
                              </w:r>
                              <w:r>
                                <w:instrText xml:space="preserve">PAGE   \* MERGEFORMAT</w:instrText>
                              </w:r>
                              <w:r>
                                <w:fldChar w:fldCharType="separate"/>
                              </w:r>
                              <w:r>
                                <w:rPr>
                                  <w:lang w:val="zh-CN"/>
                                </w:rPr>
                                <w:t>20</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gTw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2qgTwVAgAAFwQAAA4AAAAAAAAA&#10;AQAgAAAAHwEAAGRycy9lMm9Eb2MueG1sUEsFBgAAAAAGAAYAWQEAAKYFAAAAAA==&#10;">
              <v:fill on="f" focussize="0,0"/>
              <v:stroke on="f" weight="0.5pt"/>
              <v:imagedata o:title=""/>
              <o:lock v:ext="edit" aspectratio="f"/>
              <v:textbox inset="0mm,0mm,0mm,0mm" style="mso-fit-shape-to-text:t;">
                <w:txbxContent>
                  <w:sdt>
                    <w:sdtPr>
                      <w:id w:val="1438870597"/>
                      <w:docPartObj>
                        <w:docPartGallery w:val="autotext"/>
                      </w:docPartObj>
                    </w:sdtPr>
                    <w:sdtContent>
                      <w:p>
                        <w:pPr>
                          <w:pStyle w:val="23"/>
                          <w:jc w:val="center"/>
                        </w:pPr>
                        <w:r>
                          <w:fldChar w:fldCharType="begin"/>
                        </w:r>
                        <w:r>
                          <w:instrText xml:space="preserve">PAGE   \* MERGEFORMAT</w:instrText>
                        </w:r>
                        <w:r>
                          <w:fldChar w:fldCharType="separate"/>
                        </w:r>
                        <w:r>
                          <w:rPr>
                            <w:lang w:val="zh-CN"/>
                          </w:rPr>
                          <w:t>20</w:t>
                        </w:r>
                        <w:r>
                          <w:fldChar w:fldCharType="end"/>
                        </w:r>
                      </w:p>
                    </w:sdtContent>
                  </w:sdt>
                  <w:p>
                    <w:pPr>
                      <w:pStyle w:val="2"/>
                    </w:pPr>
                  </w:p>
                </w:txbxContent>
              </v:textbox>
            </v:shape>
          </w:pict>
        </mc:Fallback>
      </mc:AlternateContent>
    </w:r>
  </w:p>
  <w:p>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38870597"/>
                          </w:sdtPr>
                          <w:sdtContent>
                            <w:p>
                              <w:pPr>
                                <w:pStyle w:val="23"/>
                                <w:jc w:val="center"/>
                              </w:pPr>
                              <w:r>
                                <w:fldChar w:fldCharType="begin"/>
                              </w:r>
                              <w:r>
                                <w:instrText xml:space="preserve">PAGE   \* MERGEFORMAT</w:instrText>
                              </w:r>
                              <w:r>
                                <w:fldChar w:fldCharType="separate"/>
                              </w:r>
                              <w:r>
                                <w:rPr>
                                  <w:lang w:val="zh-CN"/>
                                </w:rPr>
                                <w:t>201</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sdt>
                    <w:sdtPr>
                      <w:id w:val="1438870597"/>
                    </w:sdtPr>
                    <w:sdtContent>
                      <w:p>
                        <w:pPr>
                          <w:pStyle w:val="23"/>
                          <w:jc w:val="center"/>
                        </w:pPr>
                        <w:r>
                          <w:fldChar w:fldCharType="begin"/>
                        </w:r>
                        <w:r>
                          <w:instrText xml:space="preserve">PAGE   \* MERGEFORMAT</w:instrText>
                        </w:r>
                        <w:r>
                          <w:fldChar w:fldCharType="separate"/>
                        </w:r>
                        <w:r>
                          <w:rPr>
                            <w:lang w:val="zh-CN"/>
                          </w:rPr>
                          <w:t>201</w:t>
                        </w:r>
                        <w:r>
                          <w:fldChar w:fldCharType="end"/>
                        </w:r>
                      </w:p>
                    </w:sdtContent>
                  </w:sdt>
                  <w:p>
                    <w:pPr>
                      <w:pStyle w:val="2"/>
                    </w:pPr>
                  </w:p>
                </w:txbxContent>
              </v:textbox>
            </v:shape>
          </w:pict>
        </mc:Fallback>
      </mc:AlternateContent>
    </w:r>
  </w:p>
  <w:p>
    <w:pPr>
      <w:pStyle w:val="2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wv3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J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7wv3IVAgAAFwQAAA4AAAAAAAAA&#10;AQAgAAAAHwEAAGRycy9lMm9Eb2MueG1sUEsFBgAAAAAGAAYAWQEAAKYFAAAAAA==&#10;">
              <v:fill on="f" focussize="0,0"/>
              <v:stroke on="f" weight="0.5pt"/>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p>
    <w:pPr>
      <w:pStyle w:val="2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eastAsia="仿宋_GB2312" w:cs="Times New Roman"/>
        <w:sz w:val="21"/>
        <w:szCs w:val="21"/>
      </w:rPr>
    </w:pPr>
    <w:r>
      <w:rPr>
        <w:rFonts w:hint="eastAsia" w:eastAsia="仿宋_GB2312" w:cs="Times New Roman"/>
        <w:sz w:val="21"/>
        <w:szCs w:val="21"/>
        <w:lang w:eastAsia="zh-CN"/>
      </w:rPr>
      <w:t>双狮（张家港）精细化工有限公司环境应急预案土壤及地下水污染防治专篇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eastAsia="仿宋_GB2312" w:cs="Times New Roman"/>
        <w:sz w:val="21"/>
        <w:szCs w:val="21"/>
      </w:rPr>
    </w:pPr>
    <w:r>
      <w:rPr>
        <w:rFonts w:hint="eastAsia" w:eastAsia="仿宋_GB2312" w:cs="Times New Roman"/>
        <w:sz w:val="21"/>
        <w:szCs w:val="21"/>
        <w:lang w:eastAsia="zh-CN"/>
      </w:rPr>
      <w:t>双狮（张家港）精细化工有限公司环境应急预案土壤及地下水污染防治专篇</w:t>
    </w:r>
    <w:r>
      <w:rPr>
        <w:rFonts w:eastAsia="仿宋_GB2312" w:cs="Times New Roman"/>
        <w:sz w:val="21"/>
        <w:szCs w:val="21"/>
      </w:rPr>
      <w:t xml:space="preserve">       </w:t>
    </w:r>
    <w:r>
      <w:rPr>
        <w:rFonts w:hint="eastAsia" w:eastAsia="仿宋_GB2312" w:cs="Times New Roman"/>
        <w:sz w:val="21"/>
        <w:szCs w:val="21"/>
      </w:rPr>
      <w:t xml:space="preserve"> </w:t>
    </w:r>
    <w:r>
      <w:rPr>
        <w:rFonts w:eastAsia="仿宋_GB2312" w:cs="Times New Roman"/>
        <w:sz w:val="21"/>
        <w:szCs w:val="21"/>
      </w:rPr>
      <w:t xml:space="preserve">                     </w:t>
    </w:r>
    <w:r>
      <w:rPr>
        <w:rFonts w:hint="eastAsia" w:eastAsia="仿宋_GB2312" w:cs="Times New Roman"/>
        <w:sz w:val="21"/>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eastAsia="仿宋_GB2312" w:cs="Times New Roman"/>
        <w:sz w:val="21"/>
        <w:szCs w:val="21"/>
        <w:lang w:eastAsia="zh-CN"/>
      </w:rPr>
      <w:t>双狮（张家港）精细化工有限公司突发土壤及地下水环境污染事件专项应急预案</w:t>
    </w:r>
    <w:r>
      <w:rPr>
        <w:rFonts w:eastAsia="仿宋_GB2312" w:cs="Times New Roman"/>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119CB"/>
    <w:multiLevelType w:val="multilevel"/>
    <w:tmpl w:val="4E2119C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327458B"/>
    <w:multiLevelType w:val="multilevel"/>
    <w:tmpl w:val="5327458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8EE"/>
    <w:rsid w:val="00000749"/>
    <w:rsid w:val="00001309"/>
    <w:rsid w:val="000017DE"/>
    <w:rsid w:val="00001A25"/>
    <w:rsid w:val="000028F7"/>
    <w:rsid w:val="0000527B"/>
    <w:rsid w:val="00005396"/>
    <w:rsid w:val="000058E7"/>
    <w:rsid w:val="00005D1A"/>
    <w:rsid w:val="00006B78"/>
    <w:rsid w:val="0000735D"/>
    <w:rsid w:val="00007595"/>
    <w:rsid w:val="000076C1"/>
    <w:rsid w:val="000106B2"/>
    <w:rsid w:val="00010889"/>
    <w:rsid w:val="00011356"/>
    <w:rsid w:val="000116B1"/>
    <w:rsid w:val="000117B7"/>
    <w:rsid w:val="00014663"/>
    <w:rsid w:val="00014855"/>
    <w:rsid w:val="00014EA7"/>
    <w:rsid w:val="000159F4"/>
    <w:rsid w:val="000167F6"/>
    <w:rsid w:val="00017A58"/>
    <w:rsid w:val="0002015F"/>
    <w:rsid w:val="0002021E"/>
    <w:rsid w:val="0002031D"/>
    <w:rsid w:val="0002093C"/>
    <w:rsid w:val="0002123D"/>
    <w:rsid w:val="000213A0"/>
    <w:rsid w:val="00021675"/>
    <w:rsid w:val="000225AD"/>
    <w:rsid w:val="000226B1"/>
    <w:rsid w:val="00022D16"/>
    <w:rsid w:val="00022E35"/>
    <w:rsid w:val="00023CB2"/>
    <w:rsid w:val="00023CD7"/>
    <w:rsid w:val="00023ECB"/>
    <w:rsid w:val="000246DA"/>
    <w:rsid w:val="00024752"/>
    <w:rsid w:val="00024EFF"/>
    <w:rsid w:val="0002507A"/>
    <w:rsid w:val="000274BC"/>
    <w:rsid w:val="00027555"/>
    <w:rsid w:val="00027950"/>
    <w:rsid w:val="00027F96"/>
    <w:rsid w:val="00031E12"/>
    <w:rsid w:val="000326EE"/>
    <w:rsid w:val="0003290B"/>
    <w:rsid w:val="000329DB"/>
    <w:rsid w:val="00032D3D"/>
    <w:rsid w:val="00033911"/>
    <w:rsid w:val="00034649"/>
    <w:rsid w:val="00034E8E"/>
    <w:rsid w:val="00036343"/>
    <w:rsid w:val="00037221"/>
    <w:rsid w:val="00037505"/>
    <w:rsid w:val="00041D5D"/>
    <w:rsid w:val="00041FED"/>
    <w:rsid w:val="0004250E"/>
    <w:rsid w:val="0004320A"/>
    <w:rsid w:val="000437E6"/>
    <w:rsid w:val="00044CD2"/>
    <w:rsid w:val="00045862"/>
    <w:rsid w:val="0004676A"/>
    <w:rsid w:val="000507DD"/>
    <w:rsid w:val="000516AE"/>
    <w:rsid w:val="0005184E"/>
    <w:rsid w:val="00051E62"/>
    <w:rsid w:val="000523E2"/>
    <w:rsid w:val="00052DD8"/>
    <w:rsid w:val="000532AC"/>
    <w:rsid w:val="00053589"/>
    <w:rsid w:val="00053A53"/>
    <w:rsid w:val="00053D10"/>
    <w:rsid w:val="00053D22"/>
    <w:rsid w:val="00055A1B"/>
    <w:rsid w:val="000603E9"/>
    <w:rsid w:val="0006195F"/>
    <w:rsid w:val="000621F5"/>
    <w:rsid w:val="00063879"/>
    <w:rsid w:val="0006556B"/>
    <w:rsid w:val="00065756"/>
    <w:rsid w:val="0006581F"/>
    <w:rsid w:val="00065C7A"/>
    <w:rsid w:val="0006776E"/>
    <w:rsid w:val="000706EA"/>
    <w:rsid w:val="0007099B"/>
    <w:rsid w:val="00070CF0"/>
    <w:rsid w:val="000717C6"/>
    <w:rsid w:val="00071B04"/>
    <w:rsid w:val="00072084"/>
    <w:rsid w:val="0007245F"/>
    <w:rsid w:val="0007316F"/>
    <w:rsid w:val="000739D7"/>
    <w:rsid w:val="00073ABB"/>
    <w:rsid w:val="00073E62"/>
    <w:rsid w:val="00074529"/>
    <w:rsid w:val="00075942"/>
    <w:rsid w:val="00077929"/>
    <w:rsid w:val="0008068F"/>
    <w:rsid w:val="000818DD"/>
    <w:rsid w:val="00081989"/>
    <w:rsid w:val="00081C1F"/>
    <w:rsid w:val="00081CF3"/>
    <w:rsid w:val="000839B1"/>
    <w:rsid w:val="00084092"/>
    <w:rsid w:val="00084684"/>
    <w:rsid w:val="00085469"/>
    <w:rsid w:val="000858E9"/>
    <w:rsid w:val="0008595A"/>
    <w:rsid w:val="00085BD3"/>
    <w:rsid w:val="00086711"/>
    <w:rsid w:val="00087E09"/>
    <w:rsid w:val="0009012A"/>
    <w:rsid w:val="00090FF7"/>
    <w:rsid w:val="00091E9F"/>
    <w:rsid w:val="00092474"/>
    <w:rsid w:val="0009271B"/>
    <w:rsid w:val="00093090"/>
    <w:rsid w:val="00093112"/>
    <w:rsid w:val="00093749"/>
    <w:rsid w:val="00093AE8"/>
    <w:rsid w:val="00097F7F"/>
    <w:rsid w:val="000A050B"/>
    <w:rsid w:val="000A0722"/>
    <w:rsid w:val="000A1B40"/>
    <w:rsid w:val="000A3633"/>
    <w:rsid w:val="000A7770"/>
    <w:rsid w:val="000A78C4"/>
    <w:rsid w:val="000B0203"/>
    <w:rsid w:val="000B0DDC"/>
    <w:rsid w:val="000B19A8"/>
    <w:rsid w:val="000B25A2"/>
    <w:rsid w:val="000B28E2"/>
    <w:rsid w:val="000B2E3A"/>
    <w:rsid w:val="000B331A"/>
    <w:rsid w:val="000B3845"/>
    <w:rsid w:val="000B3F5F"/>
    <w:rsid w:val="000B4281"/>
    <w:rsid w:val="000B448F"/>
    <w:rsid w:val="000B4B2C"/>
    <w:rsid w:val="000B5962"/>
    <w:rsid w:val="000C00F1"/>
    <w:rsid w:val="000C0155"/>
    <w:rsid w:val="000C0667"/>
    <w:rsid w:val="000C11B2"/>
    <w:rsid w:val="000C24E3"/>
    <w:rsid w:val="000C2F73"/>
    <w:rsid w:val="000C3368"/>
    <w:rsid w:val="000C5470"/>
    <w:rsid w:val="000C590A"/>
    <w:rsid w:val="000C61FD"/>
    <w:rsid w:val="000C63E5"/>
    <w:rsid w:val="000C66B1"/>
    <w:rsid w:val="000C6782"/>
    <w:rsid w:val="000C68FE"/>
    <w:rsid w:val="000D0D27"/>
    <w:rsid w:val="000D13AC"/>
    <w:rsid w:val="000D1BD4"/>
    <w:rsid w:val="000D218E"/>
    <w:rsid w:val="000D39E5"/>
    <w:rsid w:val="000D3D3C"/>
    <w:rsid w:val="000D454C"/>
    <w:rsid w:val="000D6DB8"/>
    <w:rsid w:val="000D6F5D"/>
    <w:rsid w:val="000D7546"/>
    <w:rsid w:val="000D7A90"/>
    <w:rsid w:val="000E21B2"/>
    <w:rsid w:val="000E338C"/>
    <w:rsid w:val="000E3979"/>
    <w:rsid w:val="000E48FD"/>
    <w:rsid w:val="000E5280"/>
    <w:rsid w:val="000E6001"/>
    <w:rsid w:val="000E7101"/>
    <w:rsid w:val="000E769A"/>
    <w:rsid w:val="000E7A5B"/>
    <w:rsid w:val="000F02FA"/>
    <w:rsid w:val="000F0612"/>
    <w:rsid w:val="000F1B39"/>
    <w:rsid w:val="000F3C5A"/>
    <w:rsid w:val="000F3F8D"/>
    <w:rsid w:val="000F45EE"/>
    <w:rsid w:val="000F49CA"/>
    <w:rsid w:val="000F5412"/>
    <w:rsid w:val="000F5685"/>
    <w:rsid w:val="000F6595"/>
    <w:rsid w:val="000F6B06"/>
    <w:rsid w:val="000F7D05"/>
    <w:rsid w:val="00100621"/>
    <w:rsid w:val="00100A0A"/>
    <w:rsid w:val="001013D8"/>
    <w:rsid w:val="00102B4A"/>
    <w:rsid w:val="00103DE4"/>
    <w:rsid w:val="00105F8A"/>
    <w:rsid w:val="0010661E"/>
    <w:rsid w:val="00106EDD"/>
    <w:rsid w:val="00107A2F"/>
    <w:rsid w:val="001105E2"/>
    <w:rsid w:val="001111ED"/>
    <w:rsid w:val="00112838"/>
    <w:rsid w:val="001128C0"/>
    <w:rsid w:val="001128FE"/>
    <w:rsid w:val="0011300A"/>
    <w:rsid w:val="001134EC"/>
    <w:rsid w:val="001138D1"/>
    <w:rsid w:val="001147C5"/>
    <w:rsid w:val="001149BF"/>
    <w:rsid w:val="00115223"/>
    <w:rsid w:val="00116226"/>
    <w:rsid w:val="001167FC"/>
    <w:rsid w:val="00116D01"/>
    <w:rsid w:val="00116D9B"/>
    <w:rsid w:val="00117467"/>
    <w:rsid w:val="001202F5"/>
    <w:rsid w:val="00121A38"/>
    <w:rsid w:val="00121ADF"/>
    <w:rsid w:val="00122015"/>
    <w:rsid w:val="00122727"/>
    <w:rsid w:val="00122D55"/>
    <w:rsid w:val="001238DD"/>
    <w:rsid w:val="00124A1A"/>
    <w:rsid w:val="00124E13"/>
    <w:rsid w:val="001251A1"/>
    <w:rsid w:val="0012556D"/>
    <w:rsid w:val="0012566B"/>
    <w:rsid w:val="00126CB8"/>
    <w:rsid w:val="001306C8"/>
    <w:rsid w:val="00130B1C"/>
    <w:rsid w:val="00131597"/>
    <w:rsid w:val="001321D3"/>
    <w:rsid w:val="00133AE7"/>
    <w:rsid w:val="00133C2C"/>
    <w:rsid w:val="00134917"/>
    <w:rsid w:val="00135F41"/>
    <w:rsid w:val="00136030"/>
    <w:rsid w:val="00136224"/>
    <w:rsid w:val="00136481"/>
    <w:rsid w:val="00136E9B"/>
    <w:rsid w:val="00137420"/>
    <w:rsid w:val="00137829"/>
    <w:rsid w:val="00137BC5"/>
    <w:rsid w:val="00140F38"/>
    <w:rsid w:val="0014178B"/>
    <w:rsid w:val="00141878"/>
    <w:rsid w:val="00141F59"/>
    <w:rsid w:val="0014269A"/>
    <w:rsid w:val="00143077"/>
    <w:rsid w:val="00143F40"/>
    <w:rsid w:val="001444BE"/>
    <w:rsid w:val="001461DA"/>
    <w:rsid w:val="0014686D"/>
    <w:rsid w:val="001477B1"/>
    <w:rsid w:val="001477F2"/>
    <w:rsid w:val="00150915"/>
    <w:rsid w:val="00151237"/>
    <w:rsid w:val="00151B08"/>
    <w:rsid w:val="00151F1B"/>
    <w:rsid w:val="00152816"/>
    <w:rsid w:val="00152B36"/>
    <w:rsid w:val="001552EE"/>
    <w:rsid w:val="001560C1"/>
    <w:rsid w:val="001562EB"/>
    <w:rsid w:val="00156F03"/>
    <w:rsid w:val="00156F37"/>
    <w:rsid w:val="00157363"/>
    <w:rsid w:val="00157399"/>
    <w:rsid w:val="001602CF"/>
    <w:rsid w:val="00162D5B"/>
    <w:rsid w:val="00163054"/>
    <w:rsid w:val="00164F72"/>
    <w:rsid w:val="00165419"/>
    <w:rsid w:val="0016563A"/>
    <w:rsid w:val="0016688B"/>
    <w:rsid w:val="00166D6C"/>
    <w:rsid w:val="00167275"/>
    <w:rsid w:val="00167682"/>
    <w:rsid w:val="001744C1"/>
    <w:rsid w:val="0017570F"/>
    <w:rsid w:val="001758A9"/>
    <w:rsid w:val="001770F5"/>
    <w:rsid w:val="001772D0"/>
    <w:rsid w:val="0018098A"/>
    <w:rsid w:val="00181F40"/>
    <w:rsid w:val="00182694"/>
    <w:rsid w:val="00182890"/>
    <w:rsid w:val="0018341E"/>
    <w:rsid w:val="00184AE4"/>
    <w:rsid w:val="00184C76"/>
    <w:rsid w:val="00185F43"/>
    <w:rsid w:val="001867FC"/>
    <w:rsid w:val="00186AE4"/>
    <w:rsid w:val="00187E1D"/>
    <w:rsid w:val="00191101"/>
    <w:rsid w:val="00191320"/>
    <w:rsid w:val="00192B2C"/>
    <w:rsid w:val="00193BD3"/>
    <w:rsid w:val="00193C78"/>
    <w:rsid w:val="00194EC0"/>
    <w:rsid w:val="001963FC"/>
    <w:rsid w:val="00197A28"/>
    <w:rsid w:val="00197AF8"/>
    <w:rsid w:val="00197F14"/>
    <w:rsid w:val="001A00D8"/>
    <w:rsid w:val="001A01BF"/>
    <w:rsid w:val="001A0D92"/>
    <w:rsid w:val="001A0E92"/>
    <w:rsid w:val="001A10CE"/>
    <w:rsid w:val="001A1563"/>
    <w:rsid w:val="001A156C"/>
    <w:rsid w:val="001A184C"/>
    <w:rsid w:val="001A1D09"/>
    <w:rsid w:val="001A1E93"/>
    <w:rsid w:val="001A2647"/>
    <w:rsid w:val="001A34FA"/>
    <w:rsid w:val="001A35D7"/>
    <w:rsid w:val="001A3E85"/>
    <w:rsid w:val="001A5E90"/>
    <w:rsid w:val="001A65C9"/>
    <w:rsid w:val="001B1266"/>
    <w:rsid w:val="001B1694"/>
    <w:rsid w:val="001B2EC6"/>
    <w:rsid w:val="001B4AED"/>
    <w:rsid w:val="001B6CB0"/>
    <w:rsid w:val="001B723D"/>
    <w:rsid w:val="001B7658"/>
    <w:rsid w:val="001C0078"/>
    <w:rsid w:val="001C0233"/>
    <w:rsid w:val="001C12C7"/>
    <w:rsid w:val="001C14B2"/>
    <w:rsid w:val="001C1A56"/>
    <w:rsid w:val="001C2895"/>
    <w:rsid w:val="001C28E0"/>
    <w:rsid w:val="001C2C72"/>
    <w:rsid w:val="001C48D8"/>
    <w:rsid w:val="001C56FE"/>
    <w:rsid w:val="001C61E7"/>
    <w:rsid w:val="001C6765"/>
    <w:rsid w:val="001C71FA"/>
    <w:rsid w:val="001C784D"/>
    <w:rsid w:val="001D022F"/>
    <w:rsid w:val="001D22C2"/>
    <w:rsid w:val="001D2BF9"/>
    <w:rsid w:val="001D2EA5"/>
    <w:rsid w:val="001D3160"/>
    <w:rsid w:val="001D31EA"/>
    <w:rsid w:val="001D34B0"/>
    <w:rsid w:val="001D57B1"/>
    <w:rsid w:val="001D61B8"/>
    <w:rsid w:val="001D64F6"/>
    <w:rsid w:val="001D6A0E"/>
    <w:rsid w:val="001D6B40"/>
    <w:rsid w:val="001D7528"/>
    <w:rsid w:val="001E140D"/>
    <w:rsid w:val="001E1935"/>
    <w:rsid w:val="001E19D1"/>
    <w:rsid w:val="001E2950"/>
    <w:rsid w:val="001E6F14"/>
    <w:rsid w:val="001E70BD"/>
    <w:rsid w:val="001E72F7"/>
    <w:rsid w:val="001E7709"/>
    <w:rsid w:val="001E77D5"/>
    <w:rsid w:val="001E797E"/>
    <w:rsid w:val="001F0B52"/>
    <w:rsid w:val="001F215C"/>
    <w:rsid w:val="001F317D"/>
    <w:rsid w:val="001F37C4"/>
    <w:rsid w:val="001F39DE"/>
    <w:rsid w:val="001F3F28"/>
    <w:rsid w:val="001F587B"/>
    <w:rsid w:val="001F5B1B"/>
    <w:rsid w:val="001F5D17"/>
    <w:rsid w:val="001F64A6"/>
    <w:rsid w:val="001F6EB3"/>
    <w:rsid w:val="001F7B74"/>
    <w:rsid w:val="002013F9"/>
    <w:rsid w:val="0020179D"/>
    <w:rsid w:val="00202650"/>
    <w:rsid w:val="00202C0A"/>
    <w:rsid w:val="00202DDB"/>
    <w:rsid w:val="0020404D"/>
    <w:rsid w:val="002045A1"/>
    <w:rsid w:val="00206301"/>
    <w:rsid w:val="00206B3C"/>
    <w:rsid w:val="00210D8D"/>
    <w:rsid w:val="0021177F"/>
    <w:rsid w:val="00211E2D"/>
    <w:rsid w:val="00213B5C"/>
    <w:rsid w:val="00213C9F"/>
    <w:rsid w:val="00213F69"/>
    <w:rsid w:val="002148BC"/>
    <w:rsid w:val="0021548B"/>
    <w:rsid w:val="002154A9"/>
    <w:rsid w:val="00216D69"/>
    <w:rsid w:val="00217342"/>
    <w:rsid w:val="00217514"/>
    <w:rsid w:val="0021794B"/>
    <w:rsid w:val="00217E68"/>
    <w:rsid w:val="002217AA"/>
    <w:rsid w:val="00222471"/>
    <w:rsid w:val="002228BF"/>
    <w:rsid w:val="00223E69"/>
    <w:rsid w:val="00223EE3"/>
    <w:rsid w:val="00224316"/>
    <w:rsid w:val="0022444F"/>
    <w:rsid w:val="00224D01"/>
    <w:rsid w:val="00225E1F"/>
    <w:rsid w:val="00225F64"/>
    <w:rsid w:val="002263FC"/>
    <w:rsid w:val="002269A6"/>
    <w:rsid w:val="002300F5"/>
    <w:rsid w:val="002304DE"/>
    <w:rsid w:val="0023129F"/>
    <w:rsid w:val="002317E6"/>
    <w:rsid w:val="00232231"/>
    <w:rsid w:val="002326FE"/>
    <w:rsid w:val="00232BBA"/>
    <w:rsid w:val="00234456"/>
    <w:rsid w:val="00236F1F"/>
    <w:rsid w:val="002375C7"/>
    <w:rsid w:val="0023791A"/>
    <w:rsid w:val="00237AC1"/>
    <w:rsid w:val="00237B77"/>
    <w:rsid w:val="0024231B"/>
    <w:rsid w:val="00242CDA"/>
    <w:rsid w:val="0024321B"/>
    <w:rsid w:val="0024355D"/>
    <w:rsid w:val="00245242"/>
    <w:rsid w:val="002466F5"/>
    <w:rsid w:val="0024671E"/>
    <w:rsid w:val="00246F3C"/>
    <w:rsid w:val="00247503"/>
    <w:rsid w:val="0024757B"/>
    <w:rsid w:val="0024757F"/>
    <w:rsid w:val="00247A5F"/>
    <w:rsid w:val="00247C29"/>
    <w:rsid w:val="00251A2B"/>
    <w:rsid w:val="0025283A"/>
    <w:rsid w:val="002533A0"/>
    <w:rsid w:val="0025392E"/>
    <w:rsid w:val="0025529D"/>
    <w:rsid w:val="00257542"/>
    <w:rsid w:val="002623D4"/>
    <w:rsid w:val="00262AA1"/>
    <w:rsid w:val="00263026"/>
    <w:rsid w:val="00263A8E"/>
    <w:rsid w:val="00264707"/>
    <w:rsid w:val="0026480E"/>
    <w:rsid w:val="00266AF4"/>
    <w:rsid w:val="0027018B"/>
    <w:rsid w:val="00271104"/>
    <w:rsid w:val="002712CC"/>
    <w:rsid w:val="002739F1"/>
    <w:rsid w:val="00274701"/>
    <w:rsid w:val="00275C91"/>
    <w:rsid w:val="00277EBE"/>
    <w:rsid w:val="0028020E"/>
    <w:rsid w:val="002814DE"/>
    <w:rsid w:val="00282C0A"/>
    <w:rsid w:val="00283656"/>
    <w:rsid w:val="002847AB"/>
    <w:rsid w:val="0028501B"/>
    <w:rsid w:val="0028683F"/>
    <w:rsid w:val="0028790D"/>
    <w:rsid w:val="00287EF4"/>
    <w:rsid w:val="00290556"/>
    <w:rsid w:val="00290ECD"/>
    <w:rsid w:val="002935D4"/>
    <w:rsid w:val="002948B9"/>
    <w:rsid w:val="00295DA0"/>
    <w:rsid w:val="00295FEB"/>
    <w:rsid w:val="00296336"/>
    <w:rsid w:val="00296DA4"/>
    <w:rsid w:val="00297BE6"/>
    <w:rsid w:val="002A1811"/>
    <w:rsid w:val="002A25A2"/>
    <w:rsid w:val="002A436E"/>
    <w:rsid w:val="002A43B7"/>
    <w:rsid w:val="002A45F8"/>
    <w:rsid w:val="002A50F0"/>
    <w:rsid w:val="002A6C64"/>
    <w:rsid w:val="002A771F"/>
    <w:rsid w:val="002B0521"/>
    <w:rsid w:val="002B2414"/>
    <w:rsid w:val="002B2C53"/>
    <w:rsid w:val="002B2FE6"/>
    <w:rsid w:val="002B32AC"/>
    <w:rsid w:val="002B341A"/>
    <w:rsid w:val="002B3484"/>
    <w:rsid w:val="002B3609"/>
    <w:rsid w:val="002B36DC"/>
    <w:rsid w:val="002B37F4"/>
    <w:rsid w:val="002B3EA3"/>
    <w:rsid w:val="002B4074"/>
    <w:rsid w:val="002B4213"/>
    <w:rsid w:val="002B47D9"/>
    <w:rsid w:val="002B5475"/>
    <w:rsid w:val="002B5E20"/>
    <w:rsid w:val="002B648F"/>
    <w:rsid w:val="002B66D9"/>
    <w:rsid w:val="002B6962"/>
    <w:rsid w:val="002B6D2B"/>
    <w:rsid w:val="002B72D9"/>
    <w:rsid w:val="002C0C1B"/>
    <w:rsid w:val="002C0C73"/>
    <w:rsid w:val="002C126C"/>
    <w:rsid w:val="002C1925"/>
    <w:rsid w:val="002C1A69"/>
    <w:rsid w:val="002C1DA4"/>
    <w:rsid w:val="002C1EF1"/>
    <w:rsid w:val="002C1F07"/>
    <w:rsid w:val="002C2306"/>
    <w:rsid w:val="002C28EF"/>
    <w:rsid w:val="002C29B1"/>
    <w:rsid w:val="002C39BE"/>
    <w:rsid w:val="002C4361"/>
    <w:rsid w:val="002C447B"/>
    <w:rsid w:val="002C4D3C"/>
    <w:rsid w:val="002C4D9D"/>
    <w:rsid w:val="002C4E5C"/>
    <w:rsid w:val="002C6120"/>
    <w:rsid w:val="002C6166"/>
    <w:rsid w:val="002C6B94"/>
    <w:rsid w:val="002C6D0D"/>
    <w:rsid w:val="002C6E88"/>
    <w:rsid w:val="002C7425"/>
    <w:rsid w:val="002C7FB1"/>
    <w:rsid w:val="002D05BE"/>
    <w:rsid w:val="002D2497"/>
    <w:rsid w:val="002D3286"/>
    <w:rsid w:val="002D368C"/>
    <w:rsid w:val="002D4062"/>
    <w:rsid w:val="002D4F7C"/>
    <w:rsid w:val="002D760F"/>
    <w:rsid w:val="002D7C73"/>
    <w:rsid w:val="002E001C"/>
    <w:rsid w:val="002E110A"/>
    <w:rsid w:val="002E11C7"/>
    <w:rsid w:val="002E1465"/>
    <w:rsid w:val="002E1CE5"/>
    <w:rsid w:val="002E2662"/>
    <w:rsid w:val="002E3098"/>
    <w:rsid w:val="002E32C2"/>
    <w:rsid w:val="002E475B"/>
    <w:rsid w:val="002E49AF"/>
    <w:rsid w:val="002E4F61"/>
    <w:rsid w:val="002E626C"/>
    <w:rsid w:val="002E711C"/>
    <w:rsid w:val="002E7D7B"/>
    <w:rsid w:val="002F0134"/>
    <w:rsid w:val="002F0E0C"/>
    <w:rsid w:val="002F11BF"/>
    <w:rsid w:val="002F3A97"/>
    <w:rsid w:val="002F47B1"/>
    <w:rsid w:val="002F6773"/>
    <w:rsid w:val="002F6BD7"/>
    <w:rsid w:val="002F7C68"/>
    <w:rsid w:val="00301483"/>
    <w:rsid w:val="0030279D"/>
    <w:rsid w:val="003027E2"/>
    <w:rsid w:val="00304153"/>
    <w:rsid w:val="0030590F"/>
    <w:rsid w:val="00306EF6"/>
    <w:rsid w:val="003075FB"/>
    <w:rsid w:val="00307766"/>
    <w:rsid w:val="003103C0"/>
    <w:rsid w:val="003111DE"/>
    <w:rsid w:val="00311405"/>
    <w:rsid w:val="0031140C"/>
    <w:rsid w:val="00311485"/>
    <w:rsid w:val="00312D80"/>
    <w:rsid w:val="00313628"/>
    <w:rsid w:val="00313BD7"/>
    <w:rsid w:val="0031462B"/>
    <w:rsid w:val="00314B56"/>
    <w:rsid w:val="00314D51"/>
    <w:rsid w:val="003158DF"/>
    <w:rsid w:val="003164D5"/>
    <w:rsid w:val="0031664E"/>
    <w:rsid w:val="00316745"/>
    <w:rsid w:val="00321DBC"/>
    <w:rsid w:val="00322800"/>
    <w:rsid w:val="00322AEF"/>
    <w:rsid w:val="0032343D"/>
    <w:rsid w:val="00323A4E"/>
    <w:rsid w:val="00324204"/>
    <w:rsid w:val="003249B5"/>
    <w:rsid w:val="003269F7"/>
    <w:rsid w:val="0032719F"/>
    <w:rsid w:val="003276B6"/>
    <w:rsid w:val="003277F4"/>
    <w:rsid w:val="00327EC8"/>
    <w:rsid w:val="00327FF9"/>
    <w:rsid w:val="003310CF"/>
    <w:rsid w:val="00331C8B"/>
    <w:rsid w:val="0033204A"/>
    <w:rsid w:val="00332251"/>
    <w:rsid w:val="00333394"/>
    <w:rsid w:val="00334256"/>
    <w:rsid w:val="00335BE0"/>
    <w:rsid w:val="00336092"/>
    <w:rsid w:val="0033787B"/>
    <w:rsid w:val="00337AEE"/>
    <w:rsid w:val="003401DB"/>
    <w:rsid w:val="00340A43"/>
    <w:rsid w:val="00340C63"/>
    <w:rsid w:val="00344059"/>
    <w:rsid w:val="0034412B"/>
    <w:rsid w:val="003442CC"/>
    <w:rsid w:val="00344C92"/>
    <w:rsid w:val="00345B3F"/>
    <w:rsid w:val="00350FFE"/>
    <w:rsid w:val="00352207"/>
    <w:rsid w:val="003540B6"/>
    <w:rsid w:val="00355458"/>
    <w:rsid w:val="0035691D"/>
    <w:rsid w:val="00356CB6"/>
    <w:rsid w:val="00356EA0"/>
    <w:rsid w:val="00357720"/>
    <w:rsid w:val="00357E23"/>
    <w:rsid w:val="003600D9"/>
    <w:rsid w:val="00360631"/>
    <w:rsid w:val="0036080C"/>
    <w:rsid w:val="00360E80"/>
    <w:rsid w:val="003613CC"/>
    <w:rsid w:val="0036253D"/>
    <w:rsid w:val="00362930"/>
    <w:rsid w:val="003637E1"/>
    <w:rsid w:val="00363E12"/>
    <w:rsid w:val="003647E6"/>
    <w:rsid w:val="00364BA0"/>
    <w:rsid w:val="003654C7"/>
    <w:rsid w:val="00365D97"/>
    <w:rsid w:val="00365F86"/>
    <w:rsid w:val="00366A5C"/>
    <w:rsid w:val="00367286"/>
    <w:rsid w:val="00370B53"/>
    <w:rsid w:val="00370BAA"/>
    <w:rsid w:val="00371401"/>
    <w:rsid w:val="0037171C"/>
    <w:rsid w:val="003717BA"/>
    <w:rsid w:val="00371932"/>
    <w:rsid w:val="00371D3E"/>
    <w:rsid w:val="00372B9B"/>
    <w:rsid w:val="00372E69"/>
    <w:rsid w:val="00372ECA"/>
    <w:rsid w:val="00373C20"/>
    <w:rsid w:val="00374EAF"/>
    <w:rsid w:val="003759AA"/>
    <w:rsid w:val="003759EC"/>
    <w:rsid w:val="003761F6"/>
    <w:rsid w:val="00376757"/>
    <w:rsid w:val="003768B9"/>
    <w:rsid w:val="00377B9F"/>
    <w:rsid w:val="00380317"/>
    <w:rsid w:val="003810F9"/>
    <w:rsid w:val="00381824"/>
    <w:rsid w:val="00382EA7"/>
    <w:rsid w:val="003836B5"/>
    <w:rsid w:val="0038482A"/>
    <w:rsid w:val="00384CBF"/>
    <w:rsid w:val="00385622"/>
    <w:rsid w:val="00386E4F"/>
    <w:rsid w:val="0039059C"/>
    <w:rsid w:val="0039112E"/>
    <w:rsid w:val="00392122"/>
    <w:rsid w:val="0039240A"/>
    <w:rsid w:val="003925B3"/>
    <w:rsid w:val="0039786B"/>
    <w:rsid w:val="003A1AE5"/>
    <w:rsid w:val="003A1E61"/>
    <w:rsid w:val="003A301E"/>
    <w:rsid w:val="003A307E"/>
    <w:rsid w:val="003A3E9D"/>
    <w:rsid w:val="003A5D75"/>
    <w:rsid w:val="003A5E27"/>
    <w:rsid w:val="003A605A"/>
    <w:rsid w:val="003A730E"/>
    <w:rsid w:val="003B130B"/>
    <w:rsid w:val="003B1773"/>
    <w:rsid w:val="003B1E8B"/>
    <w:rsid w:val="003B1F77"/>
    <w:rsid w:val="003B404E"/>
    <w:rsid w:val="003B4551"/>
    <w:rsid w:val="003B4714"/>
    <w:rsid w:val="003B52F9"/>
    <w:rsid w:val="003B5D3A"/>
    <w:rsid w:val="003B6768"/>
    <w:rsid w:val="003B72EC"/>
    <w:rsid w:val="003C076E"/>
    <w:rsid w:val="003C0960"/>
    <w:rsid w:val="003C0B6A"/>
    <w:rsid w:val="003C20CE"/>
    <w:rsid w:val="003C2B79"/>
    <w:rsid w:val="003C2B90"/>
    <w:rsid w:val="003C2C10"/>
    <w:rsid w:val="003C2CE1"/>
    <w:rsid w:val="003C30A9"/>
    <w:rsid w:val="003C35C4"/>
    <w:rsid w:val="003C41C6"/>
    <w:rsid w:val="003C5F4A"/>
    <w:rsid w:val="003C5F59"/>
    <w:rsid w:val="003C6046"/>
    <w:rsid w:val="003C67B1"/>
    <w:rsid w:val="003C794A"/>
    <w:rsid w:val="003D1339"/>
    <w:rsid w:val="003D2566"/>
    <w:rsid w:val="003D3184"/>
    <w:rsid w:val="003D3B39"/>
    <w:rsid w:val="003D4013"/>
    <w:rsid w:val="003D4926"/>
    <w:rsid w:val="003D4E9F"/>
    <w:rsid w:val="003D51A2"/>
    <w:rsid w:val="003E061E"/>
    <w:rsid w:val="003E0F5E"/>
    <w:rsid w:val="003E16B7"/>
    <w:rsid w:val="003E2189"/>
    <w:rsid w:val="003E2EFB"/>
    <w:rsid w:val="003E2F64"/>
    <w:rsid w:val="003E42FB"/>
    <w:rsid w:val="003E4675"/>
    <w:rsid w:val="003E5DD9"/>
    <w:rsid w:val="003E62A1"/>
    <w:rsid w:val="003E63D5"/>
    <w:rsid w:val="003E653A"/>
    <w:rsid w:val="003E6F06"/>
    <w:rsid w:val="003E72B7"/>
    <w:rsid w:val="003E7410"/>
    <w:rsid w:val="003E78E3"/>
    <w:rsid w:val="003F108F"/>
    <w:rsid w:val="003F1A3E"/>
    <w:rsid w:val="003F2E02"/>
    <w:rsid w:val="003F3125"/>
    <w:rsid w:val="003F329B"/>
    <w:rsid w:val="003F479C"/>
    <w:rsid w:val="003F4B4E"/>
    <w:rsid w:val="003F7EBD"/>
    <w:rsid w:val="0040088B"/>
    <w:rsid w:val="004018EC"/>
    <w:rsid w:val="00401D35"/>
    <w:rsid w:val="00401DBA"/>
    <w:rsid w:val="0040205E"/>
    <w:rsid w:val="00402578"/>
    <w:rsid w:val="00403104"/>
    <w:rsid w:val="00404C4E"/>
    <w:rsid w:val="00405483"/>
    <w:rsid w:val="004067A3"/>
    <w:rsid w:val="00407611"/>
    <w:rsid w:val="00410119"/>
    <w:rsid w:val="004110F1"/>
    <w:rsid w:val="00412597"/>
    <w:rsid w:val="004135E6"/>
    <w:rsid w:val="004138E0"/>
    <w:rsid w:val="00413C9C"/>
    <w:rsid w:val="00414223"/>
    <w:rsid w:val="00414299"/>
    <w:rsid w:val="00415631"/>
    <w:rsid w:val="004162AD"/>
    <w:rsid w:val="004164B0"/>
    <w:rsid w:val="00416E26"/>
    <w:rsid w:val="00416EC7"/>
    <w:rsid w:val="00417277"/>
    <w:rsid w:val="00421BC8"/>
    <w:rsid w:val="00421C32"/>
    <w:rsid w:val="004220A1"/>
    <w:rsid w:val="004220B1"/>
    <w:rsid w:val="00422BB6"/>
    <w:rsid w:val="0042513E"/>
    <w:rsid w:val="0042536F"/>
    <w:rsid w:val="00425C43"/>
    <w:rsid w:val="0042646D"/>
    <w:rsid w:val="0043059F"/>
    <w:rsid w:val="00431F8B"/>
    <w:rsid w:val="00432376"/>
    <w:rsid w:val="0043240E"/>
    <w:rsid w:val="0043276C"/>
    <w:rsid w:val="00432D34"/>
    <w:rsid w:val="004344F2"/>
    <w:rsid w:val="004353B9"/>
    <w:rsid w:val="004361EC"/>
    <w:rsid w:val="004363C0"/>
    <w:rsid w:val="00441764"/>
    <w:rsid w:val="00441C34"/>
    <w:rsid w:val="004432E3"/>
    <w:rsid w:val="004445D1"/>
    <w:rsid w:val="00445FC5"/>
    <w:rsid w:val="00446776"/>
    <w:rsid w:val="00446980"/>
    <w:rsid w:val="00446D29"/>
    <w:rsid w:val="00450B3C"/>
    <w:rsid w:val="00450B61"/>
    <w:rsid w:val="0045298C"/>
    <w:rsid w:val="00452B2F"/>
    <w:rsid w:val="00455D04"/>
    <w:rsid w:val="0045696D"/>
    <w:rsid w:val="00456AB8"/>
    <w:rsid w:val="00457304"/>
    <w:rsid w:val="0045741D"/>
    <w:rsid w:val="00460B87"/>
    <w:rsid w:val="00460DAB"/>
    <w:rsid w:val="00461911"/>
    <w:rsid w:val="004628CE"/>
    <w:rsid w:val="00462B39"/>
    <w:rsid w:val="00462FEB"/>
    <w:rsid w:val="00463C58"/>
    <w:rsid w:val="00463D11"/>
    <w:rsid w:val="00463E69"/>
    <w:rsid w:val="0046486F"/>
    <w:rsid w:val="00465AD4"/>
    <w:rsid w:val="00467A6B"/>
    <w:rsid w:val="00467F2B"/>
    <w:rsid w:val="00470137"/>
    <w:rsid w:val="004720CF"/>
    <w:rsid w:val="00472115"/>
    <w:rsid w:val="0047301C"/>
    <w:rsid w:val="00475AB4"/>
    <w:rsid w:val="00475E0F"/>
    <w:rsid w:val="004761C0"/>
    <w:rsid w:val="00476467"/>
    <w:rsid w:val="00477E94"/>
    <w:rsid w:val="00480026"/>
    <w:rsid w:val="00480209"/>
    <w:rsid w:val="00480A85"/>
    <w:rsid w:val="00480C16"/>
    <w:rsid w:val="0048119E"/>
    <w:rsid w:val="00481360"/>
    <w:rsid w:val="0048214E"/>
    <w:rsid w:val="0048358D"/>
    <w:rsid w:val="00483DEB"/>
    <w:rsid w:val="004844A8"/>
    <w:rsid w:val="00484EC4"/>
    <w:rsid w:val="00485589"/>
    <w:rsid w:val="00486D05"/>
    <w:rsid w:val="00487265"/>
    <w:rsid w:val="004874DF"/>
    <w:rsid w:val="004879EA"/>
    <w:rsid w:val="004905C2"/>
    <w:rsid w:val="00491042"/>
    <w:rsid w:val="0049173A"/>
    <w:rsid w:val="00491B77"/>
    <w:rsid w:val="00492DD5"/>
    <w:rsid w:val="004932AF"/>
    <w:rsid w:val="00493364"/>
    <w:rsid w:val="00493A11"/>
    <w:rsid w:val="004940D6"/>
    <w:rsid w:val="00496094"/>
    <w:rsid w:val="00496D33"/>
    <w:rsid w:val="004A016F"/>
    <w:rsid w:val="004A0BFC"/>
    <w:rsid w:val="004A0C96"/>
    <w:rsid w:val="004A1617"/>
    <w:rsid w:val="004A2B36"/>
    <w:rsid w:val="004A338C"/>
    <w:rsid w:val="004A567A"/>
    <w:rsid w:val="004A6423"/>
    <w:rsid w:val="004A749F"/>
    <w:rsid w:val="004A7E26"/>
    <w:rsid w:val="004B1137"/>
    <w:rsid w:val="004B19B5"/>
    <w:rsid w:val="004B28BD"/>
    <w:rsid w:val="004B341A"/>
    <w:rsid w:val="004B5C25"/>
    <w:rsid w:val="004B5DB7"/>
    <w:rsid w:val="004B5F68"/>
    <w:rsid w:val="004B6135"/>
    <w:rsid w:val="004B6509"/>
    <w:rsid w:val="004B678B"/>
    <w:rsid w:val="004B6E1F"/>
    <w:rsid w:val="004B738A"/>
    <w:rsid w:val="004B761D"/>
    <w:rsid w:val="004B7D84"/>
    <w:rsid w:val="004C042F"/>
    <w:rsid w:val="004C0944"/>
    <w:rsid w:val="004C0E4C"/>
    <w:rsid w:val="004C1274"/>
    <w:rsid w:val="004C23F4"/>
    <w:rsid w:val="004C2847"/>
    <w:rsid w:val="004C416D"/>
    <w:rsid w:val="004C43AF"/>
    <w:rsid w:val="004C446B"/>
    <w:rsid w:val="004C6526"/>
    <w:rsid w:val="004C7F61"/>
    <w:rsid w:val="004D01B5"/>
    <w:rsid w:val="004D0229"/>
    <w:rsid w:val="004D0F68"/>
    <w:rsid w:val="004D13CC"/>
    <w:rsid w:val="004D28EA"/>
    <w:rsid w:val="004D5FDC"/>
    <w:rsid w:val="004D6672"/>
    <w:rsid w:val="004D7C7E"/>
    <w:rsid w:val="004D7CFE"/>
    <w:rsid w:val="004E26CC"/>
    <w:rsid w:val="004E28E0"/>
    <w:rsid w:val="004E2C74"/>
    <w:rsid w:val="004E4DD6"/>
    <w:rsid w:val="004E5796"/>
    <w:rsid w:val="004E5A5E"/>
    <w:rsid w:val="004E5DC7"/>
    <w:rsid w:val="004E7ABF"/>
    <w:rsid w:val="004F0BFA"/>
    <w:rsid w:val="004F10A5"/>
    <w:rsid w:val="004F127B"/>
    <w:rsid w:val="004F2E7A"/>
    <w:rsid w:val="004F2FD2"/>
    <w:rsid w:val="004F32EE"/>
    <w:rsid w:val="004F4733"/>
    <w:rsid w:val="004F5745"/>
    <w:rsid w:val="004F5760"/>
    <w:rsid w:val="004F696B"/>
    <w:rsid w:val="004F7862"/>
    <w:rsid w:val="005009B6"/>
    <w:rsid w:val="00500F59"/>
    <w:rsid w:val="00501C4A"/>
    <w:rsid w:val="00502B86"/>
    <w:rsid w:val="0050331F"/>
    <w:rsid w:val="0050365A"/>
    <w:rsid w:val="00503D29"/>
    <w:rsid w:val="005053EF"/>
    <w:rsid w:val="00505DFC"/>
    <w:rsid w:val="00506037"/>
    <w:rsid w:val="005062BC"/>
    <w:rsid w:val="005068B1"/>
    <w:rsid w:val="00510547"/>
    <w:rsid w:val="00511E7B"/>
    <w:rsid w:val="00512E56"/>
    <w:rsid w:val="00513866"/>
    <w:rsid w:val="0051425A"/>
    <w:rsid w:val="00516B00"/>
    <w:rsid w:val="00517255"/>
    <w:rsid w:val="0051734E"/>
    <w:rsid w:val="00517954"/>
    <w:rsid w:val="0052359A"/>
    <w:rsid w:val="00523AA2"/>
    <w:rsid w:val="00523C9E"/>
    <w:rsid w:val="00524183"/>
    <w:rsid w:val="005241DD"/>
    <w:rsid w:val="00524AE0"/>
    <w:rsid w:val="00525A53"/>
    <w:rsid w:val="00526713"/>
    <w:rsid w:val="005268C3"/>
    <w:rsid w:val="0052799B"/>
    <w:rsid w:val="00530079"/>
    <w:rsid w:val="005307C7"/>
    <w:rsid w:val="00531DA9"/>
    <w:rsid w:val="005339CA"/>
    <w:rsid w:val="00533E70"/>
    <w:rsid w:val="00534753"/>
    <w:rsid w:val="00534C95"/>
    <w:rsid w:val="00535D7D"/>
    <w:rsid w:val="00537E74"/>
    <w:rsid w:val="00540D79"/>
    <w:rsid w:val="005410B9"/>
    <w:rsid w:val="00541DB9"/>
    <w:rsid w:val="005447E5"/>
    <w:rsid w:val="00544EA3"/>
    <w:rsid w:val="00545FFC"/>
    <w:rsid w:val="005460A2"/>
    <w:rsid w:val="0054733E"/>
    <w:rsid w:val="005503F8"/>
    <w:rsid w:val="00550957"/>
    <w:rsid w:val="00550ADE"/>
    <w:rsid w:val="00555070"/>
    <w:rsid w:val="005557F3"/>
    <w:rsid w:val="00555803"/>
    <w:rsid w:val="00557D4A"/>
    <w:rsid w:val="005601DC"/>
    <w:rsid w:val="00560551"/>
    <w:rsid w:val="00560ED8"/>
    <w:rsid w:val="00561D72"/>
    <w:rsid w:val="00563A56"/>
    <w:rsid w:val="00563C8A"/>
    <w:rsid w:val="005652A9"/>
    <w:rsid w:val="00565C60"/>
    <w:rsid w:val="0056611D"/>
    <w:rsid w:val="00566162"/>
    <w:rsid w:val="005661EB"/>
    <w:rsid w:val="00566569"/>
    <w:rsid w:val="005666B9"/>
    <w:rsid w:val="00566B21"/>
    <w:rsid w:val="00566E98"/>
    <w:rsid w:val="0056733B"/>
    <w:rsid w:val="00567737"/>
    <w:rsid w:val="0057056D"/>
    <w:rsid w:val="005709D3"/>
    <w:rsid w:val="005710BF"/>
    <w:rsid w:val="00571255"/>
    <w:rsid w:val="00571794"/>
    <w:rsid w:val="00571AB8"/>
    <w:rsid w:val="00572119"/>
    <w:rsid w:val="00572C22"/>
    <w:rsid w:val="00575915"/>
    <w:rsid w:val="00575948"/>
    <w:rsid w:val="00575ED4"/>
    <w:rsid w:val="0057601E"/>
    <w:rsid w:val="00576952"/>
    <w:rsid w:val="00577C3E"/>
    <w:rsid w:val="00580D42"/>
    <w:rsid w:val="0058115C"/>
    <w:rsid w:val="0058171F"/>
    <w:rsid w:val="00581891"/>
    <w:rsid w:val="0058207F"/>
    <w:rsid w:val="005822DF"/>
    <w:rsid w:val="005825BB"/>
    <w:rsid w:val="005826C9"/>
    <w:rsid w:val="00584332"/>
    <w:rsid w:val="00584FA0"/>
    <w:rsid w:val="00585CFB"/>
    <w:rsid w:val="0058787E"/>
    <w:rsid w:val="00587E68"/>
    <w:rsid w:val="00590759"/>
    <w:rsid w:val="0059399E"/>
    <w:rsid w:val="00593D86"/>
    <w:rsid w:val="00593E00"/>
    <w:rsid w:val="0059582E"/>
    <w:rsid w:val="00595D78"/>
    <w:rsid w:val="00595EA9"/>
    <w:rsid w:val="005966D4"/>
    <w:rsid w:val="00596D1C"/>
    <w:rsid w:val="00597084"/>
    <w:rsid w:val="005A0051"/>
    <w:rsid w:val="005A1F73"/>
    <w:rsid w:val="005A28C0"/>
    <w:rsid w:val="005A2DAD"/>
    <w:rsid w:val="005A3B8F"/>
    <w:rsid w:val="005A3C26"/>
    <w:rsid w:val="005A4822"/>
    <w:rsid w:val="005A4F0B"/>
    <w:rsid w:val="005A5E7D"/>
    <w:rsid w:val="005A6DB3"/>
    <w:rsid w:val="005A6DD4"/>
    <w:rsid w:val="005B092F"/>
    <w:rsid w:val="005B2C24"/>
    <w:rsid w:val="005B4BFB"/>
    <w:rsid w:val="005B5A85"/>
    <w:rsid w:val="005B6687"/>
    <w:rsid w:val="005C0A21"/>
    <w:rsid w:val="005C12BA"/>
    <w:rsid w:val="005C1D54"/>
    <w:rsid w:val="005C2285"/>
    <w:rsid w:val="005C27B0"/>
    <w:rsid w:val="005C2891"/>
    <w:rsid w:val="005C3074"/>
    <w:rsid w:val="005C4025"/>
    <w:rsid w:val="005C4E66"/>
    <w:rsid w:val="005C5019"/>
    <w:rsid w:val="005C52F8"/>
    <w:rsid w:val="005C574E"/>
    <w:rsid w:val="005C642D"/>
    <w:rsid w:val="005D0271"/>
    <w:rsid w:val="005D0933"/>
    <w:rsid w:val="005D20C8"/>
    <w:rsid w:val="005D2892"/>
    <w:rsid w:val="005D2A6B"/>
    <w:rsid w:val="005D4A96"/>
    <w:rsid w:val="005D4AD2"/>
    <w:rsid w:val="005D4E38"/>
    <w:rsid w:val="005D53D7"/>
    <w:rsid w:val="005D6568"/>
    <w:rsid w:val="005D75C6"/>
    <w:rsid w:val="005E1031"/>
    <w:rsid w:val="005E125F"/>
    <w:rsid w:val="005E12D4"/>
    <w:rsid w:val="005E1675"/>
    <w:rsid w:val="005E1F6B"/>
    <w:rsid w:val="005E2303"/>
    <w:rsid w:val="005E2F91"/>
    <w:rsid w:val="005E3825"/>
    <w:rsid w:val="005E5F50"/>
    <w:rsid w:val="005E6918"/>
    <w:rsid w:val="005E6BCE"/>
    <w:rsid w:val="005E6D25"/>
    <w:rsid w:val="005E7258"/>
    <w:rsid w:val="005E799B"/>
    <w:rsid w:val="005F10D7"/>
    <w:rsid w:val="005F1D49"/>
    <w:rsid w:val="005F1DF2"/>
    <w:rsid w:val="005F229A"/>
    <w:rsid w:val="005F43CE"/>
    <w:rsid w:val="005F45BB"/>
    <w:rsid w:val="005F4780"/>
    <w:rsid w:val="005F4A17"/>
    <w:rsid w:val="005F4CB7"/>
    <w:rsid w:val="005F558C"/>
    <w:rsid w:val="005F796A"/>
    <w:rsid w:val="00600A32"/>
    <w:rsid w:val="00600A5B"/>
    <w:rsid w:val="00601153"/>
    <w:rsid w:val="0060289B"/>
    <w:rsid w:val="00603171"/>
    <w:rsid w:val="006032F8"/>
    <w:rsid w:val="00603578"/>
    <w:rsid w:val="0060372D"/>
    <w:rsid w:val="006039F5"/>
    <w:rsid w:val="00604816"/>
    <w:rsid w:val="00605B82"/>
    <w:rsid w:val="00606EA0"/>
    <w:rsid w:val="006075E5"/>
    <w:rsid w:val="0061140E"/>
    <w:rsid w:val="00611C95"/>
    <w:rsid w:val="0061359C"/>
    <w:rsid w:val="006137D2"/>
    <w:rsid w:val="006139D4"/>
    <w:rsid w:val="00614508"/>
    <w:rsid w:val="00614675"/>
    <w:rsid w:val="0061635B"/>
    <w:rsid w:val="006168BD"/>
    <w:rsid w:val="00616D7D"/>
    <w:rsid w:val="00620074"/>
    <w:rsid w:val="00620734"/>
    <w:rsid w:val="00621A6D"/>
    <w:rsid w:val="00623E66"/>
    <w:rsid w:val="00624126"/>
    <w:rsid w:val="006258F9"/>
    <w:rsid w:val="00625AC8"/>
    <w:rsid w:val="00625E7D"/>
    <w:rsid w:val="006267C7"/>
    <w:rsid w:val="00627DF8"/>
    <w:rsid w:val="00630FC7"/>
    <w:rsid w:val="006356E9"/>
    <w:rsid w:val="00635E68"/>
    <w:rsid w:val="006366E7"/>
    <w:rsid w:val="006367F9"/>
    <w:rsid w:val="00636EFC"/>
    <w:rsid w:val="00636F8F"/>
    <w:rsid w:val="0063714F"/>
    <w:rsid w:val="006415FF"/>
    <w:rsid w:val="00642792"/>
    <w:rsid w:val="00642996"/>
    <w:rsid w:val="00642DA2"/>
    <w:rsid w:val="00644916"/>
    <w:rsid w:val="00644999"/>
    <w:rsid w:val="00644CB1"/>
    <w:rsid w:val="00645059"/>
    <w:rsid w:val="00645B45"/>
    <w:rsid w:val="0064642F"/>
    <w:rsid w:val="00646E59"/>
    <w:rsid w:val="00650CF9"/>
    <w:rsid w:val="00650F38"/>
    <w:rsid w:val="006512A8"/>
    <w:rsid w:val="006533D2"/>
    <w:rsid w:val="00653888"/>
    <w:rsid w:val="00653FB6"/>
    <w:rsid w:val="0065518A"/>
    <w:rsid w:val="006556FD"/>
    <w:rsid w:val="00655747"/>
    <w:rsid w:val="00655C1F"/>
    <w:rsid w:val="0065778C"/>
    <w:rsid w:val="00660955"/>
    <w:rsid w:val="00660DB8"/>
    <w:rsid w:val="00661163"/>
    <w:rsid w:val="006611A0"/>
    <w:rsid w:val="0066120B"/>
    <w:rsid w:val="00662431"/>
    <w:rsid w:val="00662538"/>
    <w:rsid w:val="00662C22"/>
    <w:rsid w:val="006635A7"/>
    <w:rsid w:val="00664E7D"/>
    <w:rsid w:val="00664F26"/>
    <w:rsid w:val="00665191"/>
    <w:rsid w:val="00665239"/>
    <w:rsid w:val="006652DF"/>
    <w:rsid w:val="00665BD3"/>
    <w:rsid w:val="006664BC"/>
    <w:rsid w:val="00670490"/>
    <w:rsid w:val="00670E8B"/>
    <w:rsid w:val="0067120E"/>
    <w:rsid w:val="00671A34"/>
    <w:rsid w:val="00671D29"/>
    <w:rsid w:val="00671DF3"/>
    <w:rsid w:val="00672522"/>
    <w:rsid w:val="0067337C"/>
    <w:rsid w:val="006734C2"/>
    <w:rsid w:val="0067357A"/>
    <w:rsid w:val="006746CE"/>
    <w:rsid w:val="006763AB"/>
    <w:rsid w:val="0067660A"/>
    <w:rsid w:val="0068019D"/>
    <w:rsid w:val="00681145"/>
    <w:rsid w:val="00681207"/>
    <w:rsid w:val="006813D2"/>
    <w:rsid w:val="0068261A"/>
    <w:rsid w:val="00682924"/>
    <w:rsid w:val="00682DE7"/>
    <w:rsid w:val="0068376F"/>
    <w:rsid w:val="00683A69"/>
    <w:rsid w:val="00684109"/>
    <w:rsid w:val="00685529"/>
    <w:rsid w:val="00685A6D"/>
    <w:rsid w:val="006860CA"/>
    <w:rsid w:val="006865D8"/>
    <w:rsid w:val="00686A3F"/>
    <w:rsid w:val="00686EBF"/>
    <w:rsid w:val="00687643"/>
    <w:rsid w:val="00687A0B"/>
    <w:rsid w:val="00687DDB"/>
    <w:rsid w:val="00690F11"/>
    <w:rsid w:val="0069171D"/>
    <w:rsid w:val="00691B6E"/>
    <w:rsid w:val="0069241A"/>
    <w:rsid w:val="00692B26"/>
    <w:rsid w:val="00693340"/>
    <w:rsid w:val="00693DD6"/>
    <w:rsid w:val="0069635C"/>
    <w:rsid w:val="0069751E"/>
    <w:rsid w:val="00697968"/>
    <w:rsid w:val="006A0F33"/>
    <w:rsid w:val="006A0F4B"/>
    <w:rsid w:val="006A149E"/>
    <w:rsid w:val="006A1999"/>
    <w:rsid w:val="006A1B54"/>
    <w:rsid w:val="006A1E88"/>
    <w:rsid w:val="006A2411"/>
    <w:rsid w:val="006A3715"/>
    <w:rsid w:val="006A3B36"/>
    <w:rsid w:val="006A410E"/>
    <w:rsid w:val="006A43A5"/>
    <w:rsid w:val="006A5A90"/>
    <w:rsid w:val="006A667E"/>
    <w:rsid w:val="006A74BD"/>
    <w:rsid w:val="006A7795"/>
    <w:rsid w:val="006A7D87"/>
    <w:rsid w:val="006B0A24"/>
    <w:rsid w:val="006B3E61"/>
    <w:rsid w:val="006B4079"/>
    <w:rsid w:val="006B4646"/>
    <w:rsid w:val="006B48BA"/>
    <w:rsid w:val="006B4F0E"/>
    <w:rsid w:val="006B649E"/>
    <w:rsid w:val="006B7289"/>
    <w:rsid w:val="006B7584"/>
    <w:rsid w:val="006C1861"/>
    <w:rsid w:val="006C1EBC"/>
    <w:rsid w:val="006C2496"/>
    <w:rsid w:val="006C2AE4"/>
    <w:rsid w:val="006C3E89"/>
    <w:rsid w:val="006C4E01"/>
    <w:rsid w:val="006C509E"/>
    <w:rsid w:val="006C57CA"/>
    <w:rsid w:val="006C5FF8"/>
    <w:rsid w:val="006C6213"/>
    <w:rsid w:val="006C65EA"/>
    <w:rsid w:val="006D02C2"/>
    <w:rsid w:val="006D0986"/>
    <w:rsid w:val="006D0C7B"/>
    <w:rsid w:val="006D1F80"/>
    <w:rsid w:val="006D2575"/>
    <w:rsid w:val="006D5E88"/>
    <w:rsid w:val="006D6B65"/>
    <w:rsid w:val="006D7E42"/>
    <w:rsid w:val="006E112D"/>
    <w:rsid w:val="006E1724"/>
    <w:rsid w:val="006E18D3"/>
    <w:rsid w:val="006E2452"/>
    <w:rsid w:val="006E25B2"/>
    <w:rsid w:val="006E3513"/>
    <w:rsid w:val="006E3B61"/>
    <w:rsid w:val="006E5157"/>
    <w:rsid w:val="006E545A"/>
    <w:rsid w:val="006E6E1A"/>
    <w:rsid w:val="006E6E6C"/>
    <w:rsid w:val="006F0360"/>
    <w:rsid w:val="006F0A87"/>
    <w:rsid w:val="006F0DF6"/>
    <w:rsid w:val="006F14AE"/>
    <w:rsid w:val="006F177A"/>
    <w:rsid w:val="006F21B2"/>
    <w:rsid w:val="006F5637"/>
    <w:rsid w:val="006F58AB"/>
    <w:rsid w:val="006F6603"/>
    <w:rsid w:val="006F6843"/>
    <w:rsid w:val="006F71F9"/>
    <w:rsid w:val="00700CC6"/>
    <w:rsid w:val="00702464"/>
    <w:rsid w:val="00702E05"/>
    <w:rsid w:val="00704414"/>
    <w:rsid w:val="007045A6"/>
    <w:rsid w:val="00704F6E"/>
    <w:rsid w:val="00705778"/>
    <w:rsid w:val="007057F7"/>
    <w:rsid w:val="00705949"/>
    <w:rsid w:val="00705A78"/>
    <w:rsid w:val="00706561"/>
    <w:rsid w:val="007068A8"/>
    <w:rsid w:val="0070691B"/>
    <w:rsid w:val="0070692E"/>
    <w:rsid w:val="00706A7D"/>
    <w:rsid w:val="00707773"/>
    <w:rsid w:val="00707BB9"/>
    <w:rsid w:val="00707E02"/>
    <w:rsid w:val="00710006"/>
    <w:rsid w:val="00710595"/>
    <w:rsid w:val="00710601"/>
    <w:rsid w:val="007110B1"/>
    <w:rsid w:val="00712E50"/>
    <w:rsid w:val="00715623"/>
    <w:rsid w:val="0071684F"/>
    <w:rsid w:val="007200B1"/>
    <w:rsid w:val="00720336"/>
    <w:rsid w:val="007207B8"/>
    <w:rsid w:val="00720D10"/>
    <w:rsid w:val="00721220"/>
    <w:rsid w:val="007215F2"/>
    <w:rsid w:val="0072180B"/>
    <w:rsid w:val="007253B9"/>
    <w:rsid w:val="007270D5"/>
    <w:rsid w:val="007276CE"/>
    <w:rsid w:val="00730C0B"/>
    <w:rsid w:val="00732D77"/>
    <w:rsid w:val="00733432"/>
    <w:rsid w:val="00733AFC"/>
    <w:rsid w:val="00733DAC"/>
    <w:rsid w:val="00734885"/>
    <w:rsid w:val="007349F6"/>
    <w:rsid w:val="00735492"/>
    <w:rsid w:val="00735A53"/>
    <w:rsid w:val="00735D1D"/>
    <w:rsid w:val="00737A39"/>
    <w:rsid w:val="00737F5D"/>
    <w:rsid w:val="00740AE8"/>
    <w:rsid w:val="00741E3D"/>
    <w:rsid w:val="00741FA8"/>
    <w:rsid w:val="00742883"/>
    <w:rsid w:val="0074356D"/>
    <w:rsid w:val="00743D4C"/>
    <w:rsid w:val="00744813"/>
    <w:rsid w:val="00744EA4"/>
    <w:rsid w:val="007450AD"/>
    <w:rsid w:val="0074695C"/>
    <w:rsid w:val="007470D2"/>
    <w:rsid w:val="00750A40"/>
    <w:rsid w:val="00750C9F"/>
    <w:rsid w:val="00750FC8"/>
    <w:rsid w:val="007530D2"/>
    <w:rsid w:val="007532C0"/>
    <w:rsid w:val="0075502A"/>
    <w:rsid w:val="007550F1"/>
    <w:rsid w:val="00756886"/>
    <w:rsid w:val="00757012"/>
    <w:rsid w:val="00757068"/>
    <w:rsid w:val="0076052F"/>
    <w:rsid w:val="007605E0"/>
    <w:rsid w:val="007607D7"/>
    <w:rsid w:val="00760830"/>
    <w:rsid w:val="00760BB1"/>
    <w:rsid w:val="00760D51"/>
    <w:rsid w:val="00761B85"/>
    <w:rsid w:val="0076201F"/>
    <w:rsid w:val="00762DBB"/>
    <w:rsid w:val="00763121"/>
    <w:rsid w:val="0076372F"/>
    <w:rsid w:val="00764409"/>
    <w:rsid w:val="00764426"/>
    <w:rsid w:val="007647CE"/>
    <w:rsid w:val="00766017"/>
    <w:rsid w:val="00767C74"/>
    <w:rsid w:val="007721B0"/>
    <w:rsid w:val="007724E4"/>
    <w:rsid w:val="0077376E"/>
    <w:rsid w:val="007740F7"/>
    <w:rsid w:val="00774399"/>
    <w:rsid w:val="007745DC"/>
    <w:rsid w:val="007748FE"/>
    <w:rsid w:val="00774AAA"/>
    <w:rsid w:val="00775FA1"/>
    <w:rsid w:val="00776138"/>
    <w:rsid w:val="00776D83"/>
    <w:rsid w:val="00777738"/>
    <w:rsid w:val="007805AF"/>
    <w:rsid w:val="00781F7C"/>
    <w:rsid w:val="0078368E"/>
    <w:rsid w:val="00784B01"/>
    <w:rsid w:val="00784B7C"/>
    <w:rsid w:val="00785549"/>
    <w:rsid w:val="00786A13"/>
    <w:rsid w:val="00787424"/>
    <w:rsid w:val="00787B5A"/>
    <w:rsid w:val="00790183"/>
    <w:rsid w:val="007912E5"/>
    <w:rsid w:val="00793C28"/>
    <w:rsid w:val="00793F9E"/>
    <w:rsid w:val="007942E8"/>
    <w:rsid w:val="00794D61"/>
    <w:rsid w:val="00795D3F"/>
    <w:rsid w:val="00796C28"/>
    <w:rsid w:val="00796D40"/>
    <w:rsid w:val="0079765E"/>
    <w:rsid w:val="00797A80"/>
    <w:rsid w:val="007A3C3D"/>
    <w:rsid w:val="007A473D"/>
    <w:rsid w:val="007A4D08"/>
    <w:rsid w:val="007A4EEF"/>
    <w:rsid w:val="007A5383"/>
    <w:rsid w:val="007A5694"/>
    <w:rsid w:val="007A5E77"/>
    <w:rsid w:val="007A6716"/>
    <w:rsid w:val="007A6F07"/>
    <w:rsid w:val="007A715D"/>
    <w:rsid w:val="007A7CB8"/>
    <w:rsid w:val="007A7F79"/>
    <w:rsid w:val="007B03A8"/>
    <w:rsid w:val="007B16D0"/>
    <w:rsid w:val="007B1AFF"/>
    <w:rsid w:val="007B2DFA"/>
    <w:rsid w:val="007B338C"/>
    <w:rsid w:val="007B418D"/>
    <w:rsid w:val="007B46D5"/>
    <w:rsid w:val="007B5012"/>
    <w:rsid w:val="007B5966"/>
    <w:rsid w:val="007B6909"/>
    <w:rsid w:val="007C01AC"/>
    <w:rsid w:val="007C09FE"/>
    <w:rsid w:val="007C0C88"/>
    <w:rsid w:val="007C1B9F"/>
    <w:rsid w:val="007C2221"/>
    <w:rsid w:val="007C2C73"/>
    <w:rsid w:val="007C2EF9"/>
    <w:rsid w:val="007C58CF"/>
    <w:rsid w:val="007C5E22"/>
    <w:rsid w:val="007C60AA"/>
    <w:rsid w:val="007D05F4"/>
    <w:rsid w:val="007D1159"/>
    <w:rsid w:val="007D11D2"/>
    <w:rsid w:val="007D2234"/>
    <w:rsid w:val="007D2348"/>
    <w:rsid w:val="007D24D8"/>
    <w:rsid w:val="007D2A1F"/>
    <w:rsid w:val="007D2E3E"/>
    <w:rsid w:val="007D3020"/>
    <w:rsid w:val="007D52BE"/>
    <w:rsid w:val="007D6C83"/>
    <w:rsid w:val="007D78DB"/>
    <w:rsid w:val="007E347F"/>
    <w:rsid w:val="007E384E"/>
    <w:rsid w:val="007E4194"/>
    <w:rsid w:val="007E4506"/>
    <w:rsid w:val="007E4A60"/>
    <w:rsid w:val="007E75D0"/>
    <w:rsid w:val="007F0FED"/>
    <w:rsid w:val="007F16B4"/>
    <w:rsid w:val="007F1837"/>
    <w:rsid w:val="007F1958"/>
    <w:rsid w:val="007F1DC3"/>
    <w:rsid w:val="007F344B"/>
    <w:rsid w:val="007F35DD"/>
    <w:rsid w:val="007F3AA6"/>
    <w:rsid w:val="007F3BB9"/>
    <w:rsid w:val="007F3DF5"/>
    <w:rsid w:val="007F412C"/>
    <w:rsid w:val="007F598F"/>
    <w:rsid w:val="007F67FD"/>
    <w:rsid w:val="00801095"/>
    <w:rsid w:val="00801FA1"/>
    <w:rsid w:val="0080215A"/>
    <w:rsid w:val="00802DC0"/>
    <w:rsid w:val="00803B01"/>
    <w:rsid w:val="00803F5C"/>
    <w:rsid w:val="00804442"/>
    <w:rsid w:val="00804D99"/>
    <w:rsid w:val="008053D2"/>
    <w:rsid w:val="00805F69"/>
    <w:rsid w:val="00805F96"/>
    <w:rsid w:val="0080640A"/>
    <w:rsid w:val="008064EA"/>
    <w:rsid w:val="008075F9"/>
    <w:rsid w:val="008076A6"/>
    <w:rsid w:val="00807B18"/>
    <w:rsid w:val="008101BD"/>
    <w:rsid w:val="00810264"/>
    <w:rsid w:val="0081123C"/>
    <w:rsid w:val="008119BE"/>
    <w:rsid w:val="00812024"/>
    <w:rsid w:val="00813E94"/>
    <w:rsid w:val="0081605D"/>
    <w:rsid w:val="0081618B"/>
    <w:rsid w:val="008164F8"/>
    <w:rsid w:val="00817B44"/>
    <w:rsid w:val="008208B2"/>
    <w:rsid w:val="00823107"/>
    <w:rsid w:val="0082315F"/>
    <w:rsid w:val="00823511"/>
    <w:rsid w:val="008237A4"/>
    <w:rsid w:val="00823BE5"/>
    <w:rsid w:val="008243C2"/>
    <w:rsid w:val="008257FA"/>
    <w:rsid w:val="008259A2"/>
    <w:rsid w:val="0082621F"/>
    <w:rsid w:val="0082685F"/>
    <w:rsid w:val="008276B8"/>
    <w:rsid w:val="008308B3"/>
    <w:rsid w:val="00832073"/>
    <w:rsid w:val="00834289"/>
    <w:rsid w:val="008351DC"/>
    <w:rsid w:val="008361A6"/>
    <w:rsid w:val="008374E9"/>
    <w:rsid w:val="008376E8"/>
    <w:rsid w:val="0083781D"/>
    <w:rsid w:val="008406FD"/>
    <w:rsid w:val="00841B6B"/>
    <w:rsid w:val="008430C0"/>
    <w:rsid w:val="0084316B"/>
    <w:rsid w:val="00844514"/>
    <w:rsid w:val="00844B4F"/>
    <w:rsid w:val="0084513F"/>
    <w:rsid w:val="00845262"/>
    <w:rsid w:val="008453D6"/>
    <w:rsid w:val="00845FE7"/>
    <w:rsid w:val="00846367"/>
    <w:rsid w:val="00846614"/>
    <w:rsid w:val="008468DC"/>
    <w:rsid w:val="0084699B"/>
    <w:rsid w:val="00847F45"/>
    <w:rsid w:val="00851AE8"/>
    <w:rsid w:val="00851F6B"/>
    <w:rsid w:val="0085241E"/>
    <w:rsid w:val="0085321B"/>
    <w:rsid w:val="00854007"/>
    <w:rsid w:val="008552CF"/>
    <w:rsid w:val="008562C0"/>
    <w:rsid w:val="008569E0"/>
    <w:rsid w:val="00856C7C"/>
    <w:rsid w:val="00857880"/>
    <w:rsid w:val="0086039D"/>
    <w:rsid w:val="00860807"/>
    <w:rsid w:val="00861E83"/>
    <w:rsid w:val="00864864"/>
    <w:rsid w:val="00864E7C"/>
    <w:rsid w:val="00865B5A"/>
    <w:rsid w:val="0086688D"/>
    <w:rsid w:val="008677E0"/>
    <w:rsid w:val="008678EA"/>
    <w:rsid w:val="00867AEF"/>
    <w:rsid w:val="00870A58"/>
    <w:rsid w:val="0087326F"/>
    <w:rsid w:val="00874006"/>
    <w:rsid w:val="00874F53"/>
    <w:rsid w:val="0087516D"/>
    <w:rsid w:val="00875D05"/>
    <w:rsid w:val="0087632F"/>
    <w:rsid w:val="008767C4"/>
    <w:rsid w:val="0087689A"/>
    <w:rsid w:val="00876BA9"/>
    <w:rsid w:val="00876CD1"/>
    <w:rsid w:val="0087726D"/>
    <w:rsid w:val="008772BF"/>
    <w:rsid w:val="00877988"/>
    <w:rsid w:val="00877F03"/>
    <w:rsid w:val="00881C26"/>
    <w:rsid w:val="008821C5"/>
    <w:rsid w:val="0088221E"/>
    <w:rsid w:val="0088423A"/>
    <w:rsid w:val="00886E04"/>
    <w:rsid w:val="00887E8F"/>
    <w:rsid w:val="00890174"/>
    <w:rsid w:val="008908CF"/>
    <w:rsid w:val="00890AA2"/>
    <w:rsid w:val="00890AE9"/>
    <w:rsid w:val="00890D68"/>
    <w:rsid w:val="00892907"/>
    <w:rsid w:val="00892AAD"/>
    <w:rsid w:val="0089374A"/>
    <w:rsid w:val="008937B3"/>
    <w:rsid w:val="00893D3E"/>
    <w:rsid w:val="00894586"/>
    <w:rsid w:val="00896011"/>
    <w:rsid w:val="00896CF1"/>
    <w:rsid w:val="008971F1"/>
    <w:rsid w:val="00897399"/>
    <w:rsid w:val="0089765D"/>
    <w:rsid w:val="008A0C28"/>
    <w:rsid w:val="008A22EB"/>
    <w:rsid w:val="008A2F87"/>
    <w:rsid w:val="008A36BA"/>
    <w:rsid w:val="008A3DB4"/>
    <w:rsid w:val="008A426E"/>
    <w:rsid w:val="008A5721"/>
    <w:rsid w:val="008A6021"/>
    <w:rsid w:val="008A660C"/>
    <w:rsid w:val="008A69A7"/>
    <w:rsid w:val="008A7400"/>
    <w:rsid w:val="008A744C"/>
    <w:rsid w:val="008A78A2"/>
    <w:rsid w:val="008B02C0"/>
    <w:rsid w:val="008B151B"/>
    <w:rsid w:val="008B2726"/>
    <w:rsid w:val="008B2EE3"/>
    <w:rsid w:val="008B366A"/>
    <w:rsid w:val="008B4B9B"/>
    <w:rsid w:val="008B4EB5"/>
    <w:rsid w:val="008B5611"/>
    <w:rsid w:val="008B6BED"/>
    <w:rsid w:val="008B75A4"/>
    <w:rsid w:val="008B78EA"/>
    <w:rsid w:val="008B7DC1"/>
    <w:rsid w:val="008B7F3A"/>
    <w:rsid w:val="008C0409"/>
    <w:rsid w:val="008C0569"/>
    <w:rsid w:val="008C2489"/>
    <w:rsid w:val="008C262B"/>
    <w:rsid w:val="008C28DD"/>
    <w:rsid w:val="008C4C29"/>
    <w:rsid w:val="008C4CB2"/>
    <w:rsid w:val="008C6563"/>
    <w:rsid w:val="008C6DA7"/>
    <w:rsid w:val="008C6F42"/>
    <w:rsid w:val="008C7449"/>
    <w:rsid w:val="008C7DCC"/>
    <w:rsid w:val="008D024C"/>
    <w:rsid w:val="008D0341"/>
    <w:rsid w:val="008D0802"/>
    <w:rsid w:val="008D1515"/>
    <w:rsid w:val="008D1775"/>
    <w:rsid w:val="008D2165"/>
    <w:rsid w:val="008D2AAA"/>
    <w:rsid w:val="008D3BAF"/>
    <w:rsid w:val="008D4698"/>
    <w:rsid w:val="008D4DBB"/>
    <w:rsid w:val="008D5517"/>
    <w:rsid w:val="008D626E"/>
    <w:rsid w:val="008E02B5"/>
    <w:rsid w:val="008E11E9"/>
    <w:rsid w:val="008E23B0"/>
    <w:rsid w:val="008E3CAA"/>
    <w:rsid w:val="008E4AE8"/>
    <w:rsid w:val="008E5F19"/>
    <w:rsid w:val="008E60D4"/>
    <w:rsid w:val="008E620B"/>
    <w:rsid w:val="008E7C21"/>
    <w:rsid w:val="008F094A"/>
    <w:rsid w:val="008F1459"/>
    <w:rsid w:val="008F18D5"/>
    <w:rsid w:val="008F2008"/>
    <w:rsid w:val="008F3447"/>
    <w:rsid w:val="008F379A"/>
    <w:rsid w:val="008F37A8"/>
    <w:rsid w:val="008F3854"/>
    <w:rsid w:val="008F50AD"/>
    <w:rsid w:val="008F581A"/>
    <w:rsid w:val="008F68BC"/>
    <w:rsid w:val="00900640"/>
    <w:rsid w:val="0090111C"/>
    <w:rsid w:val="009011E1"/>
    <w:rsid w:val="00901A51"/>
    <w:rsid w:val="0090444E"/>
    <w:rsid w:val="0090453A"/>
    <w:rsid w:val="0090594B"/>
    <w:rsid w:val="00906467"/>
    <w:rsid w:val="0090691B"/>
    <w:rsid w:val="00907752"/>
    <w:rsid w:val="00907CA2"/>
    <w:rsid w:val="0091054A"/>
    <w:rsid w:val="00910947"/>
    <w:rsid w:val="0091202F"/>
    <w:rsid w:val="00913716"/>
    <w:rsid w:val="00913734"/>
    <w:rsid w:val="00913781"/>
    <w:rsid w:val="009139AC"/>
    <w:rsid w:val="00913A1F"/>
    <w:rsid w:val="00913DE4"/>
    <w:rsid w:val="00917524"/>
    <w:rsid w:val="009202F2"/>
    <w:rsid w:val="009209BC"/>
    <w:rsid w:val="00921492"/>
    <w:rsid w:val="00921D81"/>
    <w:rsid w:val="00921E27"/>
    <w:rsid w:val="00922101"/>
    <w:rsid w:val="00922476"/>
    <w:rsid w:val="00923500"/>
    <w:rsid w:val="009239E7"/>
    <w:rsid w:val="00924AC7"/>
    <w:rsid w:val="00925FB2"/>
    <w:rsid w:val="00931B08"/>
    <w:rsid w:val="00932F3B"/>
    <w:rsid w:val="009330A7"/>
    <w:rsid w:val="00933CBE"/>
    <w:rsid w:val="00934B38"/>
    <w:rsid w:val="00936311"/>
    <w:rsid w:val="009364F1"/>
    <w:rsid w:val="00936E2C"/>
    <w:rsid w:val="00941ED2"/>
    <w:rsid w:val="00943398"/>
    <w:rsid w:val="0094446D"/>
    <w:rsid w:val="009448B7"/>
    <w:rsid w:val="009456CB"/>
    <w:rsid w:val="0094576C"/>
    <w:rsid w:val="0094589E"/>
    <w:rsid w:val="00945A2B"/>
    <w:rsid w:val="00945ADA"/>
    <w:rsid w:val="00946DD1"/>
    <w:rsid w:val="0095043D"/>
    <w:rsid w:val="009516B4"/>
    <w:rsid w:val="00952C2E"/>
    <w:rsid w:val="00953706"/>
    <w:rsid w:val="00953FF1"/>
    <w:rsid w:val="0095537E"/>
    <w:rsid w:val="009564C8"/>
    <w:rsid w:val="0095765A"/>
    <w:rsid w:val="009576BA"/>
    <w:rsid w:val="009577A8"/>
    <w:rsid w:val="0096028B"/>
    <w:rsid w:val="0096564C"/>
    <w:rsid w:val="00966C9A"/>
    <w:rsid w:val="00971501"/>
    <w:rsid w:val="00972838"/>
    <w:rsid w:val="009734E7"/>
    <w:rsid w:val="00973F39"/>
    <w:rsid w:val="0097444E"/>
    <w:rsid w:val="00974CF9"/>
    <w:rsid w:val="00974F14"/>
    <w:rsid w:val="00976234"/>
    <w:rsid w:val="009763BE"/>
    <w:rsid w:val="00977756"/>
    <w:rsid w:val="00980BC7"/>
    <w:rsid w:val="00980E32"/>
    <w:rsid w:val="00981B27"/>
    <w:rsid w:val="009820B0"/>
    <w:rsid w:val="009831EA"/>
    <w:rsid w:val="009837C1"/>
    <w:rsid w:val="00984694"/>
    <w:rsid w:val="009847C1"/>
    <w:rsid w:val="00986813"/>
    <w:rsid w:val="00987A6A"/>
    <w:rsid w:val="009905CC"/>
    <w:rsid w:val="0099093F"/>
    <w:rsid w:val="009916D2"/>
    <w:rsid w:val="00991BD1"/>
    <w:rsid w:val="00991D10"/>
    <w:rsid w:val="00992043"/>
    <w:rsid w:val="00994070"/>
    <w:rsid w:val="00997219"/>
    <w:rsid w:val="00997349"/>
    <w:rsid w:val="009973AE"/>
    <w:rsid w:val="009974CC"/>
    <w:rsid w:val="009A0AFE"/>
    <w:rsid w:val="009A170E"/>
    <w:rsid w:val="009A1958"/>
    <w:rsid w:val="009A1C8F"/>
    <w:rsid w:val="009A2A44"/>
    <w:rsid w:val="009A4B65"/>
    <w:rsid w:val="009A5FB3"/>
    <w:rsid w:val="009A60FE"/>
    <w:rsid w:val="009A674C"/>
    <w:rsid w:val="009A6856"/>
    <w:rsid w:val="009A69AA"/>
    <w:rsid w:val="009A6DC9"/>
    <w:rsid w:val="009B11EB"/>
    <w:rsid w:val="009B22A9"/>
    <w:rsid w:val="009B30C0"/>
    <w:rsid w:val="009B3123"/>
    <w:rsid w:val="009B3C51"/>
    <w:rsid w:val="009B4494"/>
    <w:rsid w:val="009B48B6"/>
    <w:rsid w:val="009B4E23"/>
    <w:rsid w:val="009B5C6D"/>
    <w:rsid w:val="009B5F81"/>
    <w:rsid w:val="009B7495"/>
    <w:rsid w:val="009C073F"/>
    <w:rsid w:val="009C0CC5"/>
    <w:rsid w:val="009C1448"/>
    <w:rsid w:val="009C295C"/>
    <w:rsid w:val="009C3390"/>
    <w:rsid w:val="009C44BA"/>
    <w:rsid w:val="009C4576"/>
    <w:rsid w:val="009C47CE"/>
    <w:rsid w:val="009C4E8E"/>
    <w:rsid w:val="009C512F"/>
    <w:rsid w:val="009C7426"/>
    <w:rsid w:val="009C7BA3"/>
    <w:rsid w:val="009C7F41"/>
    <w:rsid w:val="009D074D"/>
    <w:rsid w:val="009D0E53"/>
    <w:rsid w:val="009D3427"/>
    <w:rsid w:val="009D46BD"/>
    <w:rsid w:val="009D4BFE"/>
    <w:rsid w:val="009D4C0E"/>
    <w:rsid w:val="009D548B"/>
    <w:rsid w:val="009D5E52"/>
    <w:rsid w:val="009D5F4C"/>
    <w:rsid w:val="009D62F0"/>
    <w:rsid w:val="009D68E6"/>
    <w:rsid w:val="009D7746"/>
    <w:rsid w:val="009E0AD4"/>
    <w:rsid w:val="009E0FEB"/>
    <w:rsid w:val="009E29F4"/>
    <w:rsid w:val="009E365B"/>
    <w:rsid w:val="009E4A70"/>
    <w:rsid w:val="009E5E26"/>
    <w:rsid w:val="009E5F69"/>
    <w:rsid w:val="009E7219"/>
    <w:rsid w:val="009E7C04"/>
    <w:rsid w:val="009E7E6B"/>
    <w:rsid w:val="009F0A13"/>
    <w:rsid w:val="009F0A17"/>
    <w:rsid w:val="009F126F"/>
    <w:rsid w:val="009F1359"/>
    <w:rsid w:val="009F1D7F"/>
    <w:rsid w:val="009F202F"/>
    <w:rsid w:val="009F2A5C"/>
    <w:rsid w:val="009F2B3D"/>
    <w:rsid w:val="009F2D78"/>
    <w:rsid w:val="009F2F25"/>
    <w:rsid w:val="009F3788"/>
    <w:rsid w:val="009F4557"/>
    <w:rsid w:val="009F52E6"/>
    <w:rsid w:val="009F5BBD"/>
    <w:rsid w:val="00A005E3"/>
    <w:rsid w:val="00A005E5"/>
    <w:rsid w:val="00A00DC6"/>
    <w:rsid w:val="00A031D4"/>
    <w:rsid w:val="00A0351A"/>
    <w:rsid w:val="00A04175"/>
    <w:rsid w:val="00A04486"/>
    <w:rsid w:val="00A04AA2"/>
    <w:rsid w:val="00A04DB4"/>
    <w:rsid w:val="00A04F39"/>
    <w:rsid w:val="00A05628"/>
    <w:rsid w:val="00A05978"/>
    <w:rsid w:val="00A05FAD"/>
    <w:rsid w:val="00A069AF"/>
    <w:rsid w:val="00A06D3D"/>
    <w:rsid w:val="00A07461"/>
    <w:rsid w:val="00A07681"/>
    <w:rsid w:val="00A07FAA"/>
    <w:rsid w:val="00A10113"/>
    <w:rsid w:val="00A103D7"/>
    <w:rsid w:val="00A10FB4"/>
    <w:rsid w:val="00A1132F"/>
    <w:rsid w:val="00A118DB"/>
    <w:rsid w:val="00A124F9"/>
    <w:rsid w:val="00A12F17"/>
    <w:rsid w:val="00A158E2"/>
    <w:rsid w:val="00A15FCA"/>
    <w:rsid w:val="00A1709E"/>
    <w:rsid w:val="00A17715"/>
    <w:rsid w:val="00A17B67"/>
    <w:rsid w:val="00A200AB"/>
    <w:rsid w:val="00A206A8"/>
    <w:rsid w:val="00A21AF8"/>
    <w:rsid w:val="00A22EA0"/>
    <w:rsid w:val="00A24FBA"/>
    <w:rsid w:val="00A2514E"/>
    <w:rsid w:val="00A25A6E"/>
    <w:rsid w:val="00A25D6E"/>
    <w:rsid w:val="00A26741"/>
    <w:rsid w:val="00A27536"/>
    <w:rsid w:val="00A27972"/>
    <w:rsid w:val="00A279C1"/>
    <w:rsid w:val="00A310C4"/>
    <w:rsid w:val="00A3114B"/>
    <w:rsid w:val="00A312B7"/>
    <w:rsid w:val="00A314F2"/>
    <w:rsid w:val="00A31564"/>
    <w:rsid w:val="00A31848"/>
    <w:rsid w:val="00A31D53"/>
    <w:rsid w:val="00A32157"/>
    <w:rsid w:val="00A3246B"/>
    <w:rsid w:val="00A3261C"/>
    <w:rsid w:val="00A331FC"/>
    <w:rsid w:val="00A333AA"/>
    <w:rsid w:val="00A3384B"/>
    <w:rsid w:val="00A33F18"/>
    <w:rsid w:val="00A33FAD"/>
    <w:rsid w:val="00A34595"/>
    <w:rsid w:val="00A35AEF"/>
    <w:rsid w:val="00A35D38"/>
    <w:rsid w:val="00A36E5C"/>
    <w:rsid w:val="00A36F72"/>
    <w:rsid w:val="00A41296"/>
    <w:rsid w:val="00A415FC"/>
    <w:rsid w:val="00A416BE"/>
    <w:rsid w:val="00A4195E"/>
    <w:rsid w:val="00A41C3F"/>
    <w:rsid w:val="00A42F61"/>
    <w:rsid w:val="00A43865"/>
    <w:rsid w:val="00A44335"/>
    <w:rsid w:val="00A44459"/>
    <w:rsid w:val="00A46E6E"/>
    <w:rsid w:val="00A4754C"/>
    <w:rsid w:val="00A4783A"/>
    <w:rsid w:val="00A47A64"/>
    <w:rsid w:val="00A47E3D"/>
    <w:rsid w:val="00A50174"/>
    <w:rsid w:val="00A50D4B"/>
    <w:rsid w:val="00A525FA"/>
    <w:rsid w:val="00A52891"/>
    <w:rsid w:val="00A528DC"/>
    <w:rsid w:val="00A52EE1"/>
    <w:rsid w:val="00A535FD"/>
    <w:rsid w:val="00A538AD"/>
    <w:rsid w:val="00A540B8"/>
    <w:rsid w:val="00A55972"/>
    <w:rsid w:val="00A560CC"/>
    <w:rsid w:val="00A570AC"/>
    <w:rsid w:val="00A5798D"/>
    <w:rsid w:val="00A57B7D"/>
    <w:rsid w:val="00A57BAF"/>
    <w:rsid w:val="00A60CCE"/>
    <w:rsid w:val="00A61383"/>
    <w:rsid w:val="00A62A1D"/>
    <w:rsid w:val="00A63F12"/>
    <w:rsid w:val="00A65E9E"/>
    <w:rsid w:val="00A674F4"/>
    <w:rsid w:val="00A700C9"/>
    <w:rsid w:val="00A70265"/>
    <w:rsid w:val="00A70469"/>
    <w:rsid w:val="00A7131F"/>
    <w:rsid w:val="00A72435"/>
    <w:rsid w:val="00A731E7"/>
    <w:rsid w:val="00A73938"/>
    <w:rsid w:val="00A73BB4"/>
    <w:rsid w:val="00A73C3B"/>
    <w:rsid w:val="00A744AD"/>
    <w:rsid w:val="00A7458E"/>
    <w:rsid w:val="00A74C26"/>
    <w:rsid w:val="00A75A33"/>
    <w:rsid w:val="00A75C36"/>
    <w:rsid w:val="00A7670B"/>
    <w:rsid w:val="00A76C7B"/>
    <w:rsid w:val="00A778FA"/>
    <w:rsid w:val="00A8136F"/>
    <w:rsid w:val="00A83088"/>
    <w:rsid w:val="00A839DA"/>
    <w:rsid w:val="00A83CEF"/>
    <w:rsid w:val="00A83E29"/>
    <w:rsid w:val="00A83E3A"/>
    <w:rsid w:val="00A8406C"/>
    <w:rsid w:val="00A8414E"/>
    <w:rsid w:val="00A854C1"/>
    <w:rsid w:val="00A858E9"/>
    <w:rsid w:val="00A8626C"/>
    <w:rsid w:val="00A90111"/>
    <w:rsid w:val="00A91593"/>
    <w:rsid w:val="00A9253B"/>
    <w:rsid w:val="00A92825"/>
    <w:rsid w:val="00A941AB"/>
    <w:rsid w:val="00A958F1"/>
    <w:rsid w:val="00A9647C"/>
    <w:rsid w:val="00A971B7"/>
    <w:rsid w:val="00A97766"/>
    <w:rsid w:val="00A97DCC"/>
    <w:rsid w:val="00A97FC5"/>
    <w:rsid w:val="00AA02F3"/>
    <w:rsid w:val="00AA07EA"/>
    <w:rsid w:val="00AA11AB"/>
    <w:rsid w:val="00AA25A9"/>
    <w:rsid w:val="00AA2FA3"/>
    <w:rsid w:val="00AA2FE2"/>
    <w:rsid w:val="00AA3010"/>
    <w:rsid w:val="00AA3193"/>
    <w:rsid w:val="00AA3B49"/>
    <w:rsid w:val="00AA3E77"/>
    <w:rsid w:val="00AA3EA9"/>
    <w:rsid w:val="00AA57D7"/>
    <w:rsid w:val="00AA5D91"/>
    <w:rsid w:val="00AA6F31"/>
    <w:rsid w:val="00AA7B3E"/>
    <w:rsid w:val="00AA7BE9"/>
    <w:rsid w:val="00AB10D4"/>
    <w:rsid w:val="00AB1FBC"/>
    <w:rsid w:val="00AB3BEC"/>
    <w:rsid w:val="00AB433C"/>
    <w:rsid w:val="00AB5148"/>
    <w:rsid w:val="00AB7B75"/>
    <w:rsid w:val="00AB7CBF"/>
    <w:rsid w:val="00AC05CF"/>
    <w:rsid w:val="00AC0E17"/>
    <w:rsid w:val="00AC24E4"/>
    <w:rsid w:val="00AC279C"/>
    <w:rsid w:val="00AC3528"/>
    <w:rsid w:val="00AC39B2"/>
    <w:rsid w:val="00AC4BFE"/>
    <w:rsid w:val="00AC5DA4"/>
    <w:rsid w:val="00AC639A"/>
    <w:rsid w:val="00AC76C9"/>
    <w:rsid w:val="00AD0D78"/>
    <w:rsid w:val="00AD0FBB"/>
    <w:rsid w:val="00AD1CE5"/>
    <w:rsid w:val="00AD404F"/>
    <w:rsid w:val="00AD4882"/>
    <w:rsid w:val="00AD6E1B"/>
    <w:rsid w:val="00AD7211"/>
    <w:rsid w:val="00AD737F"/>
    <w:rsid w:val="00AE02A1"/>
    <w:rsid w:val="00AE0577"/>
    <w:rsid w:val="00AE1F43"/>
    <w:rsid w:val="00AE3620"/>
    <w:rsid w:val="00AE3F0F"/>
    <w:rsid w:val="00AE4470"/>
    <w:rsid w:val="00AE45BC"/>
    <w:rsid w:val="00AE4EBF"/>
    <w:rsid w:val="00AE5D36"/>
    <w:rsid w:val="00AE5FB8"/>
    <w:rsid w:val="00AE651B"/>
    <w:rsid w:val="00AE7912"/>
    <w:rsid w:val="00AF00FE"/>
    <w:rsid w:val="00AF023E"/>
    <w:rsid w:val="00AF0470"/>
    <w:rsid w:val="00AF15A3"/>
    <w:rsid w:val="00AF1AEE"/>
    <w:rsid w:val="00AF1BBA"/>
    <w:rsid w:val="00AF215F"/>
    <w:rsid w:val="00AF2A57"/>
    <w:rsid w:val="00AF3165"/>
    <w:rsid w:val="00AF4A0C"/>
    <w:rsid w:val="00AF5471"/>
    <w:rsid w:val="00AF63B8"/>
    <w:rsid w:val="00AF6663"/>
    <w:rsid w:val="00AF7EE3"/>
    <w:rsid w:val="00AF7FF8"/>
    <w:rsid w:val="00B0072E"/>
    <w:rsid w:val="00B00A1C"/>
    <w:rsid w:val="00B00AE9"/>
    <w:rsid w:val="00B00FE9"/>
    <w:rsid w:val="00B02A60"/>
    <w:rsid w:val="00B02C44"/>
    <w:rsid w:val="00B038D0"/>
    <w:rsid w:val="00B042D6"/>
    <w:rsid w:val="00B06127"/>
    <w:rsid w:val="00B06B0E"/>
    <w:rsid w:val="00B07296"/>
    <w:rsid w:val="00B073A8"/>
    <w:rsid w:val="00B0740A"/>
    <w:rsid w:val="00B074E4"/>
    <w:rsid w:val="00B07AD8"/>
    <w:rsid w:val="00B07CED"/>
    <w:rsid w:val="00B10389"/>
    <w:rsid w:val="00B10A8D"/>
    <w:rsid w:val="00B131F3"/>
    <w:rsid w:val="00B13F62"/>
    <w:rsid w:val="00B14975"/>
    <w:rsid w:val="00B14B94"/>
    <w:rsid w:val="00B14C4E"/>
    <w:rsid w:val="00B15CD0"/>
    <w:rsid w:val="00B172F9"/>
    <w:rsid w:val="00B20F2B"/>
    <w:rsid w:val="00B2169E"/>
    <w:rsid w:val="00B23611"/>
    <w:rsid w:val="00B24013"/>
    <w:rsid w:val="00B24F40"/>
    <w:rsid w:val="00B26947"/>
    <w:rsid w:val="00B26CE7"/>
    <w:rsid w:val="00B27053"/>
    <w:rsid w:val="00B272FD"/>
    <w:rsid w:val="00B27B35"/>
    <w:rsid w:val="00B27BD3"/>
    <w:rsid w:val="00B301F9"/>
    <w:rsid w:val="00B31DE6"/>
    <w:rsid w:val="00B320CF"/>
    <w:rsid w:val="00B32BA5"/>
    <w:rsid w:val="00B32BF3"/>
    <w:rsid w:val="00B33295"/>
    <w:rsid w:val="00B3359B"/>
    <w:rsid w:val="00B33629"/>
    <w:rsid w:val="00B33D4F"/>
    <w:rsid w:val="00B3468C"/>
    <w:rsid w:val="00B34DD7"/>
    <w:rsid w:val="00B35C06"/>
    <w:rsid w:val="00B35CE1"/>
    <w:rsid w:val="00B364BE"/>
    <w:rsid w:val="00B365AD"/>
    <w:rsid w:val="00B3676B"/>
    <w:rsid w:val="00B36A77"/>
    <w:rsid w:val="00B3747F"/>
    <w:rsid w:val="00B37873"/>
    <w:rsid w:val="00B40257"/>
    <w:rsid w:val="00B405AE"/>
    <w:rsid w:val="00B40B6B"/>
    <w:rsid w:val="00B40DE6"/>
    <w:rsid w:val="00B43228"/>
    <w:rsid w:val="00B441EC"/>
    <w:rsid w:val="00B44C18"/>
    <w:rsid w:val="00B4683E"/>
    <w:rsid w:val="00B50D41"/>
    <w:rsid w:val="00B52CAD"/>
    <w:rsid w:val="00B538C3"/>
    <w:rsid w:val="00B55AAE"/>
    <w:rsid w:val="00B60500"/>
    <w:rsid w:val="00B60595"/>
    <w:rsid w:val="00B61622"/>
    <w:rsid w:val="00B61677"/>
    <w:rsid w:val="00B61E0A"/>
    <w:rsid w:val="00B6264A"/>
    <w:rsid w:val="00B62ED5"/>
    <w:rsid w:val="00B63137"/>
    <w:rsid w:val="00B646FB"/>
    <w:rsid w:val="00B64935"/>
    <w:rsid w:val="00B65CD5"/>
    <w:rsid w:val="00B66F8B"/>
    <w:rsid w:val="00B66FD3"/>
    <w:rsid w:val="00B71518"/>
    <w:rsid w:val="00B716AC"/>
    <w:rsid w:val="00B7185A"/>
    <w:rsid w:val="00B738FD"/>
    <w:rsid w:val="00B75EFE"/>
    <w:rsid w:val="00B7672A"/>
    <w:rsid w:val="00B767E6"/>
    <w:rsid w:val="00B77E04"/>
    <w:rsid w:val="00B80578"/>
    <w:rsid w:val="00B80BE3"/>
    <w:rsid w:val="00B818E3"/>
    <w:rsid w:val="00B81B0B"/>
    <w:rsid w:val="00B81B19"/>
    <w:rsid w:val="00B81BD4"/>
    <w:rsid w:val="00B824A4"/>
    <w:rsid w:val="00B82D9B"/>
    <w:rsid w:val="00B836DB"/>
    <w:rsid w:val="00B83EE9"/>
    <w:rsid w:val="00B85045"/>
    <w:rsid w:val="00B85362"/>
    <w:rsid w:val="00B8559C"/>
    <w:rsid w:val="00B85890"/>
    <w:rsid w:val="00B85DC4"/>
    <w:rsid w:val="00B86AA2"/>
    <w:rsid w:val="00B9052A"/>
    <w:rsid w:val="00B93EE6"/>
    <w:rsid w:val="00B94BAE"/>
    <w:rsid w:val="00B95DCA"/>
    <w:rsid w:val="00B960F3"/>
    <w:rsid w:val="00B962AB"/>
    <w:rsid w:val="00B96451"/>
    <w:rsid w:val="00B96955"/>
    <w:rsid w:val="00B969FF"/>
    <w:rsid w:val="00B97C75"/>
    <w:rsid w:val="00BA11E3"/>
    <w:rsid w:val="00BA34B4"/>
    <w:rsid w:val="00BA40B0"/>
    <w:rsid w:val="00BA45F4"/>
    <w:rsid w:val="00BA4654"/>
    <w:rsid w:val="00BA678A"/>
    <w:rsid w:val="00BA7549"/>
    <w:rsid w:val="00BB0196"/>
    <w:rsid w:val="00BB085F"/>
    <w:rsid w:val="00BB0FB6"/>
    <w:rsid w:val="00BB2AAD"/>
    <w:rsid w:val="00BB2F05"/>
    <w:rsid w:val="00BB3505"/>
    <w:rsid w:val="00BB3D09"/>
    <w:rsid w:val="00BB469A"/>
    <w:rsid w:val="00BB5174"/>
    <w:rsid w:val="00BB51EB"/>
    <w:rsid w:val="00BB5AD6"/>
    <w:rsid w:val="00BB5DFA"/>
    <w:rsid w:val="00BB6C9D"/>
    <w:rsid w:val="00BB6E75"/>
    <w:rsid w:val="00BB787C"/>
    <w:rsid w:val="00BB7DB2"/>
    <w:rsid w:val="00BB7E58"/>
    <w:rsid w:val="00BB7F8A"/>
    <w:rsid w:val="00BC0684"/>
    <w:rsid w:val="00BC0D69"/>
    <w:rsid w:val="00BC2DDA"/>
    <w:rsid w:val="00BC3B46"/>
    <w:rsid w:val="00BC3D22"/>
    <w:rsid w:val="00BC5A32"/>
    <w:rsid w:val="00BC5A93"/>
    <w:rsid w:val="00BC5DB0"/>
    <w:rsid w:val="00BD37AC"/>
    <w:rsid w:val="00BD384B"/>
    <w:rsid w:val="00BD40FB"/>
    <w:rsid w:val="00BD41B7"/>
    <w:rsid w:val="00BD5348"/>
    <w:rsid w:val="00BD5431"/>
    <w:rsid w:val="00BD6DE3"/>
    <w:rsid w:val="00BD6E4E"/>
    <w:rsid w:val="00BD7B4B"/>
    <w:rsid w:val="00BE080D"/>
    <w:rsid w:val="00BE0ADE"/>
    <w:rsid w:val="00BE0DD9"/>
    <w:rsid w:val="00BE2292"/>
    <w:rsid w:val="00BE304D"/>
    <w:rsid w:val="00BE45A6"/>
    <w:rsid w:val="00BE779D"/>
    <w:rsid w:val="00BE77C5"/>
    <w:rsid w:val="00BF09A5"/>
    <w:rsid w:val="00BF19FF"/>
    <w:rsid w:val="00BF1ED5"/>
    <w:rsid w:val="00BF22AC"/>
    <w:rsid w:val="00BF2432"/>
    <w:rsid w:val="00BF3CBB"/>
    <w:rsid w:val="00BF558D"/>
    <w:rsid w:val="00BF6937"/>
    <w:rsid w:val="00BF6C47"/>
    <w:rsid w:val="00C00A44"/>
    <w:rsid w:val="00C00FBC"/>
    <w:rsid w:val="00C020CF"/>
    <w:rsid w:val="00C02CDF"/>
    <w:rsid w:val="00C03F0C"/>
    <w:rsid w:val="00C0401E"/>
    <w:rsid w:val="00C04A2A"/>
    <w:rsid w:val="00C04FEA"/>
    <w:rsid w:val="00C05578"/>
    <w:rsid w:val="00C05A11"/>
    <w:rsid w:val="00C05E59"/>
    <w:rsid w:val="00C05EF4"/>
    <w:rsid w:val="00C063A1"/>
    <w:rsid w:val="00C07227"/>
    <w:rsid w:val="00C100EE"/>
    <w:rsid w:val="00C10FE4"/>
    <w:rsid w:val="00C11184"/>
    <w:rsid w:val="00C1161C"/>
    <w:rsid w:val="00C11AC5"/>
    <w:rsid w:val="00C12C1B"/>
    <w:rsid w:val="00C138ED"/>
    <w:rsid w:val="00C13907"/>
    <w:rsid w:val="00C14AA0"/>
    <w:rsid w:val="00C14C4A"/>
    <w:rsid w:val="00C1673A"/>
    <w:rsid w:val="00C16C23"/>
    <w:rsid w:val="00C1768D"/>
    <w:rsid w:val="00C17996"/>
    <w:rsid w:val="00C20307"/>
    <w:rsid w:val="00C204E6"/>
    <w:rsid w:val="00C2061D"/>
    <w:rsid w:val="00C223A6"/>
    <w:rsid w:val="00C22F09"/>
    <w:rsid w:val="00C23375"/>
    <w:rsid w:val="00C254BA"/>
    <w:rsid w:val="00C269C1"/>
    <w:rsid w:val="00C2726D"/>
    <w:rsid w:val="00C273A2"/>
    <w:rsid w:val="00C27766"/>
    <w:rsid w:val="00C27DF1"/>
    <w:rsid w:val="00C27FFD"/>
    <w:rsid w:val="00C30872"/>
    <w:rsid w:val="00C30F60"/>
    <w:rsid w:val="00C3116A"/>
    <w:rsid w:val="00C31942"/>
    <w:rsid w:val="00C35293"/>
    <w:rsid w:val="00C368F0"/>
    <w:rsid w:val="00C36ADB"/>
    <w:rsid w:val="00C36AE1"/>
    <w:rsid w:val="00C42027"/>
    <w:rsid w:val="00C434BB"/>
    <w:rsid w:val="00C465AC"/>
    <w:rsid w:val="00C4686A"/>
    <w:rsid w:val="00C468F4"/>
    <w:rsid w:val="00C477B9"/>
    <w:rsid w:val="00C47BA0"/>
    <w:rsid w:val="00C50A4F"/>
    <w:rsid w:val="00C50FD6"/>
    <w:rsid w:val="00C515F6"/>
    <w:rsid w:val="00C53CB9"/>
    <w:rsid w:val="00C54705"/>
    <w:rsid w:val="00C54AE8"/>
    <w:rsid w:val="00C55186"/>
    <w:rsid w:val="00C55ED7"/>
    <w:rsid w:val="00C56B87"/>
    <w:rsid w:val="00C56D91"/>
    <w:rsid w:val="00C56DD4"/>
    <w:rsid w:val="00C5700A"/>
    <w:rsid w:val="00C570FC"/>
    <w:rsid w:val="00C61DD2"/>
    <w:rsid w:val="00C61F3A"/>
    <w:rsid w:val="00C628C6"/>
    <w:rsid w:val="00C62B12"/>
    <w:rsid w:val="00C634FA"/>
    <w:rsid w:val="00C642E7"/>
    <w:rsid w:val="00C646E4"/>
    <w:rsid w:val="00C64C9C"/>
    <w:rsid w:val="00C6536B"/>
    <w:rsid w:val="00C65F01"/>
    <w:rsid w:val="00C66060"/>
    <w:rsid w:val="00C66B49"/>
    <w:rsid w:val="00C66C0C"/>
    <w:rsid w:val="00C70720"/>
    <w:rsid w:val="00C71C2F"/>
    <w:rsid w:val="00C71F74"/>
    <w:rsid w:val="00C7315F"/>
    <w:rsid w:val="00C7387C"/>
    <w:rsid w:val="00C741BA"/>
    <w:rsid w:val="00C7458F"/>
    <w:rsid w:val="00C761D1"/>
    <w:rsid w:val="00C7657A"/>
    <w:rsid w:val="00C769C4"/>
    <w:rsid w:val="00C76C92"/>
    <w:rsid w:val="00C76E9A"/>
    <w:rsid w:val="00C77641"/>
    <w:rsid w:val="00C8152E"/>
    <w:rsid w:val="00C8231A"/>
    <w:rsid w:val="00C823DB"/>
    <w:rsid w:val="00C835D5"/>
    <w:rsid w:val="00C83967"/>
    <w:rsid w:val="00C844EA"/>
    <w:rsid w:val="00C845A5"/>
    <w:rsid w:val="00C854C1"/>
    <w:rsid w:val="00C856A9"/>
    <w:rsid w:val="00C85AD1"/>
    <w:rsid w:val="00C85D85"/>
    <w:rsid w:val="00C85DB9"/>
    <w:rsid w:val="00C8642F"/>
    <w:rsid w:val="00C871D3"/>
    <w:rsid w:val="00C87234"/>
    <w:rsid w:val="00C872ED"/>
    <w:rsid w:val="00C87527"/>
    <w:rsid w:val="00C87709"/>
    <w:rsid w:val="00C877E8"/>
    <w:rsid w:val="00C91494"/>
    <w:rsid w:val="00C92D71"/>
    <w:rsid w:val="00C93336"/>
    <w:rsid w:val="00C9424C"/>
    <w:rsid w:val="00C96369"/>
    <w:rsid w:val="00C966DD"/>
    <w:rsid w:val="00C96C57"/>
    <w:rsid w:val="00C97881"/>
    <w:rsid w:val="00CA03A1"/>
    <w:rsid w:val="00CA0859"/>
    <w:rsid w:val="00CA0ED3"/>
    <w:rsid w:val="00CA2ED7"/>
    <w:rsid w:val="00CA3071"/>
    <w:rsid w:val="00CA4158"/>
    <w:rsid w:val="00CA4DBF"/>
    <w:rsid w:val="00CA60EE"/>
    <w:rsid w:val="00CA6D7E"/>
    <w:rsid w:val="00CA6FCF"/>
    <w:rsid w:val="00CA7EC9"/>
    <w:rsid w:val="00CB0239"/>
    <w:rsid w:val="00CB0800"/>
    <w:rsid w:val="00CB0BDC"/>
    <w:rsid w:val="00CB0E45"/>
    <w:rsid w:val="00CB17A9"/>
    <w:rsid w:val="00CB3B14"/>
    <w:rsid w:val="00CB4CB1"/>
    <w:rsid w:val="00CB5254"/>
    <w:rsid w:val="00CB6EF8"/>
    <w:rsid w:val="00CB6F9B"/>
    <w:rsid w:val="00CB7224"/>
    <w:rsid w:val="00CB7994"/>
    <w:rsid w:val="00CB7F15"/>
    <w:rsid w:val="00CC09C4"/>
    <w:rsid w:val="00CC134B"/>
    <w:rsid w:val="00CC4004"/>
    <w:rsid w:val="00CC45C8"/>
    <w:rsid w:val="00CC47A6"/>
    <w:rsid w:val="00CC48CB"/>
    <w:rsid w:val="00CC4F80"/>
    <w:rsid w:val="00CC53FB"/>
    <w:rsid w:val="00CC64CD"/>
    <w:rsid w:val="00CC7100"/>
    <w:rsid w:val="00CC7177"/>
    <w:rsid w:val="00CC7251"/>
    <w:rsid w:val="00CC7930"/>
    <w:rsid w:val="00CD0083"/>
    <w:rsid w:val="00CD116F"/>
    <w:rsid w:val="00CD13AB"/>
    <w:rsid w:val="00CD20DD"/>
    <w:rsid w:val="00CD247F"/>
    <w:rsid w:val="00CD2504"/>
    <w:rsid w:val="00CD31E4"/>
    <w:rsid w:val="00CD37B6"/>
    <w:rsid w:val="00CD3CC9"/>
    <w:rsid w:val="00CD52B9"/>
    <w:rsid w:val="00CD58AD"/>
    <w:rsid w:val="00CD5D43"/>
    <w:rsid w:val="00CD6545"/>
    <w:rsid w:val="00CD757C"/>
    <w:rsid w:val="00CD7625"/>
    <w:rsid w:val="00CE004B"/>
    <w:rsid w:val="00CE02D4"/>
    <w:rsid w:val="00CE103B"/>
    <w:rsid w:val="00CE13A2"/>
    <w:rsid w:val="00CE150B"/>
    <w:rsid w:val="00CE1897"/>
    <w:rsid w:val="00CE1C20"/>
    <w:rsid w:val="00CE216B"/>
    <w:rsid w:val="00CE271A"/>
    <w:rsid w:val="00CE2C01"/>
    <w:rsid w:val="00CE3A7F"/>
    <w:rsid w:val="00CE4068"/>
    <w:rsid w:val="00CE5956"/>
    <w:rsid w:val="00CE7508"/>
    <w:rsid w:val="00CE7793"/>
    <w:rsid w:val="00CE7AFD"/>
    <w:rsid w:val="00CE7E73"/>
    <w:rsid w:val="00CF1AB3"/>
    <w:rsid w:val="00CF20D2"/>
    <w:rsid w:val="00CF2B9B"/>
    <w:rsid w:val="00CF3A89"/>
    <w:rsid w:val="00CF3D84"/>
    <w:rsid w:val="00CF57B9"/>
    <w:rsid w:val="00CF616F"/>
    <w:rsid w:val="00CF6294"/>
    <w:rsid w:val="00CF63E2"/>
    <w:rsid w:val="00CF6A39"/>
    <w:rsid w:val="00CF7FB0"/>
    <w:rsid w:val="00D00690"/>
    <w:rsid w:val="00D00AAC"/>
    <w:rsid w:val="00D01405"/>
    <w:rsid w:val="00D015EA"/>
    <w:rsid w:val="00D0177D"/>
    <w:rsid w:val="00D01C15"/>
    <w:rsid w:val="00D0204F"/>
    <w:rsid w:val="00D02D10"/>
    <w:rsid w:val="00D0367A"/>
    <w:rsid w:val="00D03988"/>
    <w:rsid w:val="00D05F70"/>
    <w:rsid w:val="00D06BED"/>
    <w:rsid w:val="00D07B41"/>
    <w:rsid w:val="00D1073F"/>
    <w:rsid w:val="00D107B5"/>
    <w:rsid w:val="00D10A4A"/>
    <w:rsid w:val="00D10EE5"/>
    <w:rsid w:val="00D10EFD"/>
    <w:rsid w:val="00D11361"/>
    <w:rsid w:val="00D11784"/>
    <w:rsid w:val="00D1248C"/>
    <w:rsid w:val="00D12C02"/>
    <w:rsid w:val="00D16D22"/>
    <w:rsid w:val="00D204E1"/>
    <w:rsid w:val="00D2052C"/>
    <w:rsid w:val="00D2164D"/>
    <w:rsid w:val="00D225D8"/>
    <w:rsid w:val="00D230F5"/>
    <w:rsid w:val="00D2429B"/>
    <w:rsid w:val="00D2500B"/>
    <w:rsid w:val="00D2638C"/>
    <w:rsid w:val="00D266E9"/>
    <w:rsid w:val="00D26B91"/>
    <w:rsid w:val="00D26E7C"/>
    <w:rsid w:val="00D2747A"/>
    <w:rsid w:val="00D27B60"/>
    <w:rsid w:val="00D27E1E"/>
    <w:rsid w:val="00D31071"/>
    <w:rsid w:val="00D313B4"/>
    <w:rsid w:val="00D313E5"/>
    <w:rsid w:val="00D314CB"/>
    <w:rsid w:val="00D33A44"/>
    <w:rsid w:val="00D34063"/>
    <w:rsid w:val="00D34C65"/>
    <w:rsid w:val="00D354C0"/>
    <w:rsid w:val="00D35565"/>
    <w:rsid w:val="00D35B8D"/>
    <w:rsid w:val="00D3615F"/>
    <w:rsid w:val="00D367EE"/>
    <w:rsid w:val="00D37B30"/>
    <w:rsid w:val="00D41403"/>
    <w:rsid w:val="00D44126"/>
    <w:rsid w:val="00D44959"/>
    <w:rsid w:val="00D4584B"/>
    <w:rsid w:val="00D50FDF"/>
    <w:rsid w:val="00D51217"/>
    <w:rsid w:val="00D51BBF"/>
    <w:rsid w:val="00D52E6A"/>
    <w:rsid w:val="00D53429"/>
    <w:rsid w:val="00D53443"/>
    <w:rsid w:val="00D53A5C"/>
    <w:rsid w:val="00D53BF3"/>
    <w:rsid w:val="00D5502C"/>
    <w:rsid w:val="00D553C3"/>
    <w:rsid w:val="00D55FBF"/>
    <w:rsid w:val="00D567AC"/>
    <w:rsid w:val="00D56BE0"/>
    <w:rsid w:val="00D57617"/>
    <w:rsid w:val="00D618C0"/>
    <w:rsid w:val="00D6419A"/>
    <w:rsid w:val="00D64DBE"/>
    <w:rsid w:val="00D66312"/>
    <w:rsid w:val="00D665C5"/>
    <w:rsid w:val="00D665EF"/>
    <w:rsid w:val="00D66963"/>
    <w:rsid w:val="00D67553"/>
    <w:rsid w:val="00D67560"/>
    <w:rsid w:val="00D70089"/>
    <w:rsid w:val="00D7062C"/>
    <w:rsid w:val="00D70781"/>
    <w:rsid w:val="00D70C48"/>
    <w:rsid w:val="00D722DC"/>
    <w:rsid w:val="00D72A6A"/>
    <w:rsid w:val="00D736F0"/>
    <w:rsid w:val="00D73C97"/>
    <w:rsid w:val="00D74011"/>
    <w:rsid w:val="00D7422D"/>
    <w:rsid w:val="00D7423C"/>
    <w:rsid w:val="00D74BF7"/>
    <w:rsid w:val="00D75DC8"/>
    <w:rsid w:val="00D75FEC"/>
    <w:rsid w:val="00D76227"/>
    <w:rsid w:val="00D76A44"/>
    <w:rsid w:val="00D76E5F"/>
    <w:rsid w:val="00D77A8D"/>
    <w:rsid w:val="00D77F99"/>
    <w:rsid w:val="00D810A7"/>
    <w:rsid w:val="00D815A4"/>
    <w:rsid w:val="00D81CDB"/>
    <w:rsid w:val="00D82C17"/>
    <w:rsid w:val="00D83CE5"/>
    <w:rsid w:val="00D84ED7"/>
    <w:rsid w:val="00D85688"/>
    <w:rsid w:val="00D86F59"/>
    <w:rsid w:val="00D87219"/>
    <w:rsid w:val="00D90BA4"/>
    <w:rsid w:val="00D90BC9"/>
    <w:rsid w:val="00D91189"/>
    <w:rsid w:val="00D9148B"/>
    <w:rsid w:val="00D91769"/>
    <w:rsid w:val="00D9183C"/>
    <w:rsid w:val="00D91A47"/>
    <w:rsid w:val="00D91E19"/>
    <w:rsid w:val="00D92C1D"/>
    <w:rsid w:val="00D93061"/>
    <w:rsid w:val="00D933E1"/>
    <w:rsid w:val="00D93B90"/>
    <w:rsid w:val="00D947E8"/>
    <w:rsid w:val="00D962D3"/>
    <w:rsid w:val="00D964CB"/>
    <w:rsid w:val="00D97164"/>
    <w:rsid w:val="00DA15CC"/>
    <w:rsid w:val="00DA22CB"/>
    <w:rsid w:val="00DA2AE6"/>
    <w:rsid w:val="00DA3B80"/>
    <w:rsid w:val="00DA3EEC"/>
    <w:rsid w:val="00DA52BF"/>
    <w:rsid w:val="00DA552D"/>
    <w:rsid w:val="00DA6670"/>
    <w:rsid w:val="00DA6D55"/>
    <w:rsid w:val="00DA7B52"/>
    <w:rsid w:val="00DB005A"/>
    <w:rsid w:val="00DB0A78"/>
    <w:rsid w:val="00DB18DB"/>
    <w:rsid w:val="00DB1D44"/>
    <w:rsid w:val="00DB2473"/>
    <w:rsid w:val="00DB477B"/>
    <w:rsid w:val="00DB4978"/>
    <w:rsid w:val="00DB4DB5"/>
    <w:rsid w:val="00DB61F5"/>
    <w:rsid w:val="00DB64A5"/>
    <w:rsid w:val="00DB687B"/>
    <w:rsid w:val="00DB69D0"/>
    <w:rsid w:val="00DB72AB"/>
    <w:rsid w:val="00DB7858"/>
    <w:rsid w:val="00DB785C"/>
    <w:rsid w:val="00DB7D2D"/>
    <w:rsid w:val="00DC0251"/>
    <w:rsid w:val="00DC0C5E"/>
    <w:rsid w:val="00DC0C70"/>
    <w:rsid w:val="00DC1327"/>
    <w:rsid w:val="00DC23A0"/>
    <w:rsid w:val="00DC3804"/>
    <w:rsid w:val="00DC3E1F"/>
    <w:rsid w:val="00DC4A4F"/>
    <w:rsid w:val="00DC5B0C"/>
    <w:rsid w:val="00DC5D6B"/>
    <w:rsid w:val="00DC601D"/>
    <w:rsid w:val="00DC615D"/>
    <w:rsid w:val="00DC66EB"/>
    <w:rsid w:val="00DC78E3"/>
    <w:rsid w:val="00DD1C91"/>
    <w:rsid w:val="00DD2518"/>
    <w:rsid w:val="00DD4CB0"/>
    <w:rsid w:val="00DD5115"/>
    <w:rsid w:val="00DD5E76"/>
    <w:rsid w:val="00DD67C7"/>
    <w:rsid w:val="00DD7479"/>
    <w:rsid w:val="00DE066A"/>
    <w:rsid w:val="00DE098C"/>
    <w:rsid w:val="00DE0E6F"/>
    <w:rsid w:val="00DE28E6"/>
    <w:rsid w:val="00DE3910"/>
    <w:rsid w:val="00DE691D"/>
    <w:rsid w:val="00DE6C37"/>
    <w:rsid w:val="00DF16BD"/>
    <w:rsid w:val="00DF1747"/>
    <w:rsid w:val="00DF2BEC"/>
    <w:rsid w:val="00DF472C"/>
    <w:rsid w:val="00DF4C57"/>
    <w:rsid w:val="00DF7E33"/>
    <w:rsid w:val="00E0036D"/>
    <w:rsid w:val="00E004B8"/>
    <w:rsid w:val="00E00C2A"/>
    <w:rsid w:val="00E01233"/>
    <w:rsid w:val="00E014F4"/>
    <w:rsid w:val="00E02BB1"/>
    <w:rsid w:val="00E05349"/>
    <w:rsid w:val="00E062CF"/>
    <w:rsid w:val="00E065FC"/>
    <w:rsid w:val="00E068BC"/>
    <w:rsid w:val="00E073CA"/>
    <w:rsid w:val="00E07935"/>
    <w:rsid w:val="00E10234"/>
    <w:rsid w:val="00E10FBB"/>
    <w:rsid w:val="00E1102B"/>
    <w:rsid w:val="00E11437"/>
    <w:rsid w:val="00E1172E"/>
    <w:rsid w:val="00E118EE"/>
    <w:rsid w:val="00E11F5B"/>
    <w:rsid w:val="00E1212C"/>
    <w:rsid w:val="00E1316C"/>
    <w:rsid w:val="00E15D1C"/>
    <w:rsid w:val="00E165BF"/>
    <w:rsid w:val="00E1673D"/>
    <w:rsid w:val="00E16A06"/>
    <w:rsid w:val="00E17869"/>
    <w:rsid w:val="00E178CA"/>
    <w:rsid w:val="00E23805"/>
    <w:rsid w:val="00E23ECA"/>
    <w:rsid w:val="00E25148"/>
    <w:rsid w:val="00E25826"/>
    <w:rsid w:val="00E3003B"/>
    <w:rsid w:val="00E3006E"/>
    <w:rsid w:val="00E30A66"/>
    <w:rsid w:val="00E30B23"/>
    <w:rsid w:val="00E3162F"/>
    <w:rsid w:val="00E319E9"/>
    <w:rsid w:val="00E32339"/>
    <w:rsid w:val="00E325AD"/>
    <w:rsid w:val="00E33236"/>
    <w:rsid w:val="00E333E3"/>
    <w:rsid w:val="00E33B81"/>
    <w:rsid w:val="00E341AC"/>
    <w:rsid w:val="00E348D5"/>
    <w:rsid w:val="00E35B4F"/>
    <w:rsid w:val="00E36575"/>
    <w:rsid w:val="00E37283"/>
    <w:rsid w:val="00E377E8"/>
    <w:rsid w:val="00E37B94"/>
    <w:rsid w:val="00E4099F"/>
    <w:rsid w:val="00E40BDB"/>
    <w:rsid w:val="00E410DE"/>
    <w:rsid w:val="00E411F3"/>
    <w:rsid w:val="00E41AE9"/>
    <w:rsid w:val="00E41C45"/>
    <w:rsid w:val="00E42D2F"/>
    <w:rsid w:val="00E447E3"/>
    <w:rsid w:val="00E4676E"/>
    <w:rsid w:val="00E4763D"/>
    <w:rsid w:val="00E4786E"/>
    <w:rsid w:val="00E50BCC"/>
    <w:rsid w:val="00E50FDC"/>
    <w:rsid w:val="00E517B5"/>
    <w:rsid w:val="00E52059"/>
    <w:rsid w:val="00E5340D"/>
    <w:rsid w:val="00E53428"/>
    <w:rsid w:val="00E54270"/>
    <w:rsid w:val="00E5547C"/>
    <w:rsid w:val="00E56A15"/>
    <w:rsid w:val="00E56EC1"/>
    <w:rsid w:val="00E571A4"/>
    <w:rsid w:val="00E57432"/>
    <w:rsid w:val="00E61918"/>
    <w:rsid w:val="00E6203E"/>
    <w:rsid w:val="00E62516"/>
    <w:rsid w:val="00E63698"/>
    <w:rsid w:val="00E640C1"/>
    <w:rsid w:val="00E64823"/>
    <w:rsid w:val="00E64EC1"/>
    <w:rsid w:val="00E655B9"/>
    <w:rsid w:val="00E6580E"/>
    <w:rsid w:val="00E66037"/>
    <w:rsid w:val="00E6609E"/>
    <w:rsid w:val="00E66744"/>
    <w:rsid w:val="00E66A1F"/>
    <w:rsid w:val="00E66B18"/>
    <w:rsid w:val="00E66CAB"/>
    <w:rsid w:val="00E671B6"/>
    <w:rsid w:val="00E7019E"/>
    <w:rsid w:val="00E7070E"/>
    <w:rsid w:val="00E70832"/>
    <w:rsid w:val="00E71956"/>
    <w:rsid w:val="00E71979"/>
    <w:rsid w:val="00E728E8"/>
    <w:rsid w:val="00E72CA6"/>
    <w:rsid w:val="00E73182"/>
    <w:rsid w:val="00E73F28"/>
    <w:rsid w:val="00E75CA6"/>
    <w:rsid w:val="00E7634D"/>
    <w:rsid w:val="00E764C7"/>
    <w:rsid w:val="00E76D3E"/>
    <w:rsid w:val="00E772A8"/>
    <w:rsid w:val="00E77DA1"/>
    <w:rsid w:val="00E80591"/>
    <w:rsid w:val="00E81674"/>
    <w:rsid w:val="00E822D6"/>
    <w:rsid w:val="00E82C3E"/>
    <w:rsid w:val="00E83455"/>
    <w:rsid w:val="00E839F3"/>
    <w:rsid w:val="00E83C38"/>
    <w:rsid w:val="00E83C45"/>
    <w:rsid w:val="00E8573D"/>
    <w:rsid w:val="00E863E2"/>
    <w:rsid w:val="00E869D9"/>
    <w:rsid w:val="00E86E8E"/>
    <w:rsid w:val="00E87997"/>
    <w:rsid w:val="00E90BD8"/>
    <w:rsid w:val="00E95B4F"/>
    <w:rsid w:val="00E978E8"/>
    <w:rsid w:val="00EA098C"/>
    <w:rsid w:val="00EA1258"/>
    <w:rsid w:val="00EA212A"/>
    <w:rsid w:val="00EA3324"/>
    <w:rsid w:val="00EA44C2"/>
    <w:rsid w:val="00EA4BB5"/>
    <w:rsid w:val="00EA58A7"/>
    <w:rsid w:val="00EA58E3"/>
    <w:rsid w:val="00EA6064"/>
    <w:rsid w:val="00EA6299"/>
    <w:rsid w:val="00EB1FDE"/>
    <w:rsid w:val="00EB3379"/>
    <w:rsid w:val="00EB3425"/>
    <w:rsid w:val="00EB3670"/>
    <w:rsid w:val="00EB45C8"/>
    <w:rsid w:val="00EB4891"/>
    <w:rsid w:val="00EB4FB8"/>
    <w:rsid w:val="00EB57DE"/>
    <w:rsid w:val="00EB58B3"/>
    <w:rsid w:val="00EB6E98"/>
    <w:rsid w:val="00EB754B"/>
    <w:rsid w:val="00EB7880"/>
    <w:rsid w:val="00EB7FE4"/>
    <w:rsid w:val="00EC09C7"/>
    <w:rsid w:val="00EC124E"/>
    <w:rsid w:val="00EC21C8"/>
    <w:rsid w:val="00EC31C8"/>
    <w:rsid w:val="00EC36D2"/>
    <w:rsid w:val="00EC565F"/>
    <w:rsid w:val="00EC5F34"/>
    <w:rsid w:val="00EC6521"/>
    <w:rsid w:val="00ED0067"/>
    <w:rsid w:val="00ED04A4"/>
    <w:rsid w:val="00ED0E37"/>
    <w:rsid w:val="00ED218C"/>
    <w:rsid w:val="00ED3561"/>
    <w:rsid w:val="00ED463E"/>
    <w:rsid w:val="00ED4AE2"/>
    <w:rsid w:val="00ED4DA7"/>
    <w:rsid w:val="00ED524C"/>
    <w:rsid w:val="00ED6B74"/>
    <w:rsid w:val="00ED6F33"/>
    <w:rsid w:val="00EE1420"/>
    <w:rsid w:val="00EE2649"/>
    <w:rsid w:val="00EE26B7"/>
    <w:rsid w:val="00EE2F38"/>
    <w:rsid w:val="00EE3247"/>
    <w:rsid w:val="00EE4005"/>
    <w:rsid w:val="00EE416D"/>
    <w:rsid w:val="00EE4763"/>
    <w:rsid w:val="00EE5173"/>
    <w:rsid w:val="00EE5D25"/>
    <w:rsid w:val="00EE70BB"/>
    <w:rsid w:val="00EF05E9"/>
    <w:rsid w:val="00EF0D62"/>
    <w:rsid w:val="00EF2016"/>
    <w:rsid w:val="00EF26EE"/>
    <w:rsid w:val="00EF3AB6"/>
    <w:rsid w:val="00EF3E44"/>
    <w:rsid w:val="00EF4211"/>
    <w:rsid w:val="00EF4968"/>
    <w:rsid w:val="00EF4CC5"/>
    <w:rsid w:val="00EF500F"/>
    <w:rsid w:val="00EF5561"/>
    <w:rsid w:val="00EF60D4"/>
    <w:rsid w:val="00EF6965"/>
    <w:rsid w:val="00EF7192"/>
    <w:rsid w:val="00F00A75"/>
    <w:rsid w:val="00F025F4"/>
    <w:rsid w:val="00F03680"/>
    <w:rsid w:val="00F03686"/>
    <w:rsid w:val="00F0567D"/>
    <w:rsid w:val="00F062DD"/>
    <w:rsid w:val="00F07DE7"/>
    <w:rsid w:val="00F10274"/>
    <w:rsid w:val="00F10AD5"/>
    <w:rsid w:val="00F1137A"/>
    <w:rsid w:val="00F11ADC"/>
    <w:rsid w:val="00F11F4F"/>
    <w:rsid w:val="00F12E12"/>
    <w:rsid w:val="00F1348C"/>
    <w:rsid w:val="00F13904"/>
    <w:rsid w:val="00F1496B"/>
    <w:rsid w:val="00F149C2"/>
    <w:rsid w:val="00F14D28"/>
    <w:rsid w:val="00F15285"/>
    <w:rsid w:val="00F153A5"/>
    <w:rsid w:val="00F15EBA"/>
    <w:rsid w:val="00F17A2B"/>
    <w:rsid w:val="00F218C7"/>
    <w:rsid w:val="00F21FFA"/>
    <w:rsid w:val="00F22E3D"/>
    <w:rsid w:val="00F23141"/>
    <w:rsid w:val="00F235E0"/>
    <w:rsid w:val="00F23AE8"/>
    <w:rsid w:val="00F23E35"/>
    <w:rsid w:val="00F2468E"/>
    <w:rsid w:val="00F2490E"/>
    <w:rsid w:val="00F24C80"/>
    <w:rsid w:val="00F25326"/>
    <w:rsid w:val="00F25872"/>
    <w:rsid w:val="00F25F5E"/>
    <w:rsid w:val="00F264CA"/>
    <w:rsid w:val="00F2692D"/>
    <w:rsid w:val="00F270E7"/>
    <w:rsid w:val="00F273B3"/>
    <w:rsid w:val="00F27DAE"/>
    <w:rsid w:val="00F302CE"/>
    <w:rsid w:val="00F312EB"/>
    <w:rsid w:val="00F31636"/>
    <w:rsid w:val="00F31CA3"/>
    <w:rsid w:val="00F32138"/>
    <w:rsid w:val="00F325F6"/>
    <w:rsid w:val="00F32F43"/>
    <w:rsid w:val="00F34208"/>
    <w:rsid w:val="00F35149"/>
    <w:rsid w:val="00F35B7A"/>
    <w:rsid w:val="00F35C81"/>
    <w:rsid w:val="00F35F4E"/>
    <w:rsid w:val="00F40A17"/>
    <w:rsid w:val="00F41C9C"/>
    <w:rsid w:val="00F43524"/>
    <w:rsid w:val="00F43FD1"/>
    <w:rsid w:val="00F46BA6"/>
    <w:rsid w:val="00F4727F"/>
    <w:rsid w:val="00F50405"/>
    <w:rsid w:val="00F50FC0"/>
    <w:rsid w:val="00F514C6"/>
    <w:rsid w:val="00F514E8"/>
    <w:rsid w:val="00F51F27"/>
    <w:rsid w:val="00F5247D"/>
    <w:rsid w:val="00F53C7D"/>
    <w:rsid w:val="00F54921"/>
    <w:rsid w:val="00F54D97"/>
    <w:rsid w:val="00F559DB"/>
    <w:rsid w:val="00F57523"/>
    <w:rsid w:val="00F608B0"/>
    <w:rsid w:val="00F61482"/>
    <w:rsid w:val="00F6180B"/>
    <w:rsid w:val="00F61A56"/>
    <w:rsid w:val="00F61A6D"/>
    <w:rsid w:val="00F61DF9"/>
    <w:rsid w:val="00F62B13"/>
    <w:rsid w:val="00F63572"/>
    <w:rsid w:val="00F63E17"/>
    <w:rsid w:val="00F661EC"/>
    <w:rsid w:val="00F667E4"/>
    <w:rsid w:val="00F67749"/>
    <w:rsid w:val="00F67B51"/>
    <w:rsid w:val="00F67F99"/>
    <w:rsid w:val="00F70062"/>
    <w:rsid w:val="00F71796"/>
    <w:rsid w:val="00F73756"/>
    <w:rsid w:val="00F73801"/>
    <w:rsid w:val="00F74D8E"/>
    <w:rsid w:val="00F750E7"/>
    <w:rsid w:val="00F75DB4"/>
    <w:rsid w:val="00F75F9E"/>
    <w:rsid w:val="00F76A5A"/>
    <w:rsid w:val="00F771DF"/>
    <w:rsid w:val="00F7741B"/>
    <w:rsid w:val="00F779F4"/>
    <w:rsid w:val="00F80C50"/>
    <w:rsid w:val="00F80EFC"/>
    <w:rsid w:val="00F83C16"/>
    <w:rsid w:val="00F84B08"/>
    <w:rsid w:val="00F85354"/>
    <w:rsid w:val="00F854E1"/>
    <w:rsid w:val="00F871AD"/>
    <w:rsid w:val="00F8791A"/>
    <w:rsid w:val="00F901BD"/>
    <w:rsid w:val="00F90DBD"/>
    <w:rsid w:val="00F91B23"/>
    <w:rsid w:val="00F92777"/>
    <w:rsid w:val="00F92F67"/>
    <w:rsid w:val="00F932A0"/>
    <w:rsid w:val="00F9352D"/>
    <w:rsid w:val="00F94F25"/>
    <w:rsid w:val="00F96CA3"/>
    <w:rsid w:val="00F97F54"/>
    <w:rsid w:val="00FA0044"/>
    <w:rsid w:val="00FA0826"/>
    <w:rsid w:val="00FA0A4E"/>
    <w:rsid w:val="00FA0DF9"/>
    <w:rsid w:val="00FA1C0B"/>
    <w:rsid w:val="00FA2063"/>
    <w:rsid w:val="00FA23E0"/>
    <w:rsid w:val="00FA28ED"/>
    <w:rsid w:val="00FA2D91"/>
    <w:rsid w:val="00FA41F7"/>
    <w:rsid w:val="00FA6472"/>
    <w:rsid w:val="00FA64EC"/>
    <w:rsid w:val="00FA6798"/>
    <w:rsid w:val="00FA6A34"/>
    <w:rsid w:val="00FA7AB3"/>
    <w:rsid w:val="00FA7F5F"/>
    <w:rsid w:val="00FB0B54"/>
    <w:rsid w:val="00FB1310"/>
    <w:rsid w:val="00FB17F2"/>
    <w:rsid w:val="00FB31B7"/>
    <w:rsid w:val="00FB391C"/>
    <w:rsid w:val="00FB44BE"/>
    <w:rsid w:val="00FB4BC6"/>
    <w:rsid w:val="00FB60D7"/>
    <w:rsid w:val="00FB62A9"/>
    <w:rsid w:val="00FB62CD"/>
    <w:rsid w:val="00FB6A73"/>
    <w:rsid w:val="00FB73BE"/>
    <w:rsid w:val="00FB7692"/>
    <w:rsid w:val="00FB7C78"/>
    <w:rsid w:val="00FB7E39"/>
    <w:rsid w:val="00FC00BF"/>
    <w:rsid w:val="00FC0158"/>
    <w:rsid w:val="00FC1067"/>
    <w:rsid w:val="00FC11B6"/>
    <w:rsid w:val="00FC40E3"/>
    <w:rsid w:val="00FC4190"/>
    <w:rsid w:val="00FC5BCC"/>
    <w:rsid w:val="00FC6039"/>
    <w:rsid w:val="00FC684E"/>
    <w:rsid w:val="00FD05D3"/>
    <w:rsid w:val="00FD0D1B"/>
    <w:rsid w:val="00FD1807"/>
    <w:rsid w:val="00FD1942"/>
    <w:rsid w:val="00FD29D0"/>
    <w:rsid w:val="00FD5542"/>
    <w:rsid w:val="00FD5F23"/>
    <w:rsid w:val="00FD60F6"/>
    <w:rsid w:val="00FD61B7"/>
    <w:rsid w:val="00FD6284"/>
    <w:rsid w:val="00FD646C"/>
    <w:rsid w:val="00FD6AF0"/>
    <w:rsid w:val="00FD6E58"/>
    <w:rsid w:val="00FD7403"/>
    <w:rsid w:val="00FD7568"/>
    <w:rsid w:val="00FD78FF"/>
    <w:rsid w:val="00FD7ACC"/>
    <w:rsid w:val="00FE01E7"/>
    <w:rsid w:val="00FE02F4"/>
    <w:rsid w:val="00FE0DAD"/>
    <w:rsid w:val="00FE0F43"/>
    <w:rsid w:val="00FE13E1"/>
    <w:rsid w:val="00FE3C56"/>
    <w:rsid w:val="00FE4200"/>
    <w:rsid w:val="00FE4A1C"/>
    <w:rsid w:val="00FE61A8"/>
    <w:rsid w:val="00FE7427"/>
    <w:rsid w:val="00FE74A3"/>
    <w:rsid w:val="00FE78D9"/>
    <w:rsid w:val="00FE78F1"/>
    <w:rsid w:val="00FF0380"/>
    <w:rsid w:val="00FF0477"/>
    <w:rsid w:val="00FF1137"/>
    <w:rsid w:val="00FF20F4"/>
    <w:rsid w:val="00FF46F4"/>
    <w:rsid w:val="00FF516D"/>
    <w:rsid w:val="00FF5C78"/>
    <w:rsid w:val="00FF6661"/>
    <w:rsid w:val="00FF6A68"/>
    <w:rsid w:val="019A4114"/>
    <w:rsid w:val="01DF2D48"/>
    <w:rsid w:val="02956593"/>
    <w:rsid w:val="03CB2881"/>
    <w:rsid w:val="073E5A56"/>
    <w:rsid w:val="08AB16E8"/>
    <w:rsid w:val="09EE6699"/>
    <w:rsid w:val="0E1B347F"/>
    <w:rsid w:val="0F3C201D"/>
    <w:rsid w:val="0F7B418E"/>
    <w:rsid w:val="11F90845"/>
    <w:rsid w:val="12954C99"/>
    <w:rsid w:val="12ED0B61"/>
    <w:rsid w:val="146D3948"/>
    <w:rsid w:val="14DB278B"/>
    <w:rsid w:val="16A073B0"/>
    <w:rsid w:val="1A752C27"/>
    <w:rsid w:val="1D084C27"/>
    <w:rsid w:val="1DF44A2A"/>
    <w:rsid w:val="1E314C7C"/>
    <w:rsid w:val="1E494AEC"/>
    <w:rsid w:val="1EF5263F"/>
    <w:rsid w:val="235C4966"/>
    <w:rsid w:val="26BF66B9"/>
    <w:rsid w:val="298664E9"/>
    <w:rsid w:val="2A7A632C"/>
    <w:rsid w:val="2BB648AB"/>
    <w:rsid w:val="2CC61338"/>
    <w:rsid w:val="2D6C0A29"/>
    <w:rsid w:val="2E554D5B"/>
    <w:rsid w:val="2F26364D"/>
    <w:rsid w:val="30C1368D"/>
    <w:rsid w:val="33010AB2"/>
    <w:rsid w:val="332536E5"/>
    <w:rsid w:val="34A02F1E"/>
    <w:rsid w:val="38CC120E"/>
    <w:rsid w:val="394D7C65"/>
    <w:rsid w:val="3B922B9F"/>
    <w:rsid w:val="3C756B2F"/>
    <w:rsid w:val="3D240F7F"/>
    <w:rsid w:val="3E733ACB"/>
    <w:rsid w:val="40A34772"/>
    <w:rsid w:val="40C65F7D"/>
    <w:rsid w:val="431C155C"/>
    <w:rsid w:val="433510BA"/>
    <w:rsid w:val="44030866"/>
    <w:rsid w:val="4563189B"/>
    <w:rsid w:val="46E85803"/>
    <w:rsid w:val="472B08C6"/>
    <w:rsid w:val="47582B6C"/>
    <w:rsid w:val="480105A3"/>
    <w:rsid w:val="48D06C71"/>
    <w:rsid w:val="4B390509"/>
    <w:rsid w:val="4B7748C0"/>
    <w:rsid w:val="4CDD0990"/>
    <w:rsid w:val="4E0D1A48"/>
    <w:rsid w:val="4E444273"/>
    <w:rsid w:val="51020477"/>
    <w:rsid w:val="529C2AC8"/>
    <w:rsid w:val="5345382F"/>
    <w:rsid w:val="55916782"/>
    <w:rsid w:val="56B3730F"/>
    <w:rsid w:val="58A665E3"/>
    <w:rsid w:val="5A0B702C"/>
    <w:rsid w:val="5BD372F2"/>
    <w:rsid w:val="5C634E03"/>
    <w:rsid w:val="5D9B200D"/>
    <w:rsid w:val="5D9D0C36"/>
    <w:rsid w:val="5DC80623"/>
    <w:rsid w:val="5EA36FFC"/>
    <w:rsid w:val="60284809"/>
    <w:rsid w:val="63231821"/>
    <w:rsid w:val="648736D0"/>
    <w:rsid w:val="65092865"/>
    <w:rsid w:val="66946527"/>
    <w:rsid w:val="68082DEC"/>
    <w:rsid w:val="68683AE5"/>
    <w:rsid w:val="68CF0333"/>
    <w:rsid w:val="6A9113B7"/>
    <w:rsid w:val="6C7B766F"/>
    <w:rsid w:val="6CB960BA"/>
    <w:rsid w:val="6FCE0F7C"/>
    <w:rsid w:val="6FF24073"/>
    <w:rsid w:val="70E711DF"/>
    <w:rsid w:val="71412485"/>
    <w:rsid w:val="72175A75"/>
    <w:rsid w:val="741A58B4"/>
    <w:rsid w:val="7428218A"/>
    <w:rsid w:val="75160B29"/>
    <w:rsid w:val="760C2F88"/>
    <w:rsid w:val="760E1524"/>
    <w:rsid w:val="761B54AF"/>
    <w:rsid w:val="76EE3A21"/>
    <w:rsid w:val="78CA06E6"/>
    <w:rsid w:val="78EB585F"/>
    <w:rsid w:val="794E0E3B"/>
    <w:rsid w:val="7AC83B24"/>
    <w:rsid w:val="7D366AC4"/>
    <w:rsid w:val="7DBC0564"/>
    <w:rsid w:val="7DF118A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color w:val="auto"/>
      <w:kern w:val="2"/>
      <w:sz w:val="24"/>
      <w:szCs w:val="24"/>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Cs/>
      <w:kern w:val="44"/>
      <w:sz w:val="44"/>
      <w:szCs w:val="44"/>
    </w:rPr>
  </w:style>
  <w:style w:type="paragraph" w:styleId="4">
    <w:name w:val="heading 2"/>
    <w:basedOn w:val="1"/>
    <w:next w:val="5"/>
    <w:link w:val="5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62"/>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68"/>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74"/>
    <w:unhideWhenUsed/>
    <w:qFormat/>
    <w:uiPriority w:val="0"/>
    <w:pPr>
      <w:keepNext/>
      <w:keepLines/>
      <w:spacing w:before="280" w:after="290" w:line="376" w:lineRule="auto"/>
      <w:ind w:firstLine="200" w:firstLineChars="200"/>
      <w:outlineLvl w:val="4"/>
    </w:pPr>
    <w:rPr>
      <w:rFonts w:eastAsia="仿宋_GB2312" w:cstheme="minorBidi"/>
      <w:b/>
      <w:bCs/>
      <w:sz w:val="28"/>
      <w:szCs w:val="28"/>
    </w:rPr>
  </w:style>
  <w:style w:type="paragraph" w:styleId="9">
    <w:name w:val="heading 6"/>
    <w:basedOn w:val="1"/>
    <w:next w:val="1"/>
    <w:link w:val="75"/>
    <w:qFormat/>
    <w:uiPriority w:val="0"/>
    <w:pPr>
      <w:keepNext/>
      <w:keepLines/>
      <w:widowControl/>
      <w:tabs>
        <w:tab w:val="left" w:pos="1080"/>
      </w:tabs>
      <w:spacing w:before="200" w:line="259" w:lineRule="auto"/>
      <w:ind w:left="1080" w:hanging="1080" w:firstLineChars="200"/>
      <w:jc w:val="left"/>
      <w:outlineLvl w:val="5"/>
    </w:pPr>
    <w:rPr>
      <w:rFonts w:ascii="Calibri Light" w:hAnsi="Calibri Light" w:eastAsia="仿宋_GB2312" w:cstheme="minorBidi"/>
      <w:i/>
      <w:iCs/>
      <w:color w:val="252525"/>
      <w:kern w:val="0"/>
      <w:sz w:val="20"/>
      <w:szCs w:val="20"/>
    </w:rPr>
  </w:style>
  <w:style w:type="paragraph" w:styleId="10">
    <w:name w:val="heading 7"/>
    <w:basedOn w:val="1"/>
    <w:next w:val="1"/>
    <w:link w:val="76"/>
    <w:qFormat/>
    <w:uiPriority w:val="0"/>
    <w:pPr>
      <w:keepNext/>
      <w:keepLines/>
      <w:widowControl/>
      <w:tabs>
        <w:tab w:val="left" w:pos="1440"/>
      </w:tabs>
      <w:spacing w:before="200" w:line="259" w:lineRule="auto"/>
      <w:ind w:left="1440" w:hanging="1440" w:firstLineChars="200"/>
      <w:jc w:val="left"/>
      <w:outlineLvl w:val="6"/>
    </w:pPr>
    <w:rPr>
      <w:rFonts w:ascii="Calibri Light" w:hAnsi="Calibri Light" w:eastAsia="仿宋_GB2312" w:cstheme="minorBidi"/>
      <w:i/>
      <w:iCs/>
      <w:color w:val="404040"/>
      <w:kern w:val="0"/>
      <w:sz w:val="20"/>
      <w:szCs w:val="20"/>
    </w:rPr>
  </w:style>
  <w:style w:type="paragraph" w:styleId="11">
    <w:name w:val="heading 8"/>
    <w:basedOn w:val="1"/>
    <w:next w:val="1"/>
    <w:link w:val="77"/>
    <w:qFormat/>
    <w:uiPriority w:val="0"/>
    <w:pPr>
      <w:keepNext/>
      <w:keepLines/>
      <w:widowControl/>
      <w:tabs>
        <w:tab w:val="left" w:pos="1440"/>
      </w:tabs>
      <w:spacing w:before="200" w:line="259" w:lineRule="auto"/>
      <w:ind w:left="1440" w:hanging="1440" w:firstLineChars="200"/>
      <w:jc w:val="left"/>
      <w:outlineLvl w:val="7"/>
    </w:pPr>
    <w:rPr>
      <w:rFonts w:ascii="Calibri Light" w:hAnsi="Calibri Light" w:eastAsia="仿宋_GB2312" w:cstheme="minorBidi"/>
      <w:color w:val="404040"/>
      <w:kern w:val="0"/>
      <w:sz w:val="20"/>
      <w:szCs w:val="20"/>
    </w:rPr>
  </w:style>
  <w:style w:type="paragraph" w:styleId="12">
    <w:name w:val="heading 9"/>
    <w:basedOn w:val="1"/>
    <w:next w:val="1"/>
    <w:link w:val="78"/>
    <w:qFormat/>
    <w:uiPriority w:val="0"/>
    <w:pPr>
      <w:keepNext/>
      <w:keepLines/>
      <w:widowControl/>
      <w:tabs>
        <w:tab w:val="left" w:pos="1800"/>
      </w:tabs>
      <w:spacing w:before="200" w:line="259" w:lineRule="auto"/>
      <w:ind w:left="1800" w:hanging="1800" w:firstLineChars="200"/>
      <w:jc w:val="left"/>
      <w:outlineLvl w:val="8"/>
    </w:pPr>
    <w:rPr>
      <w:rFonts w:ascii="Calibri Light" w:hAnsi="Calibri Light" w:eastAsia="仿宋_GB2312" w:cstheme="minorBidi"/>
      <w:i/>
      <w:iCs/>
      <w:color w:val="404040"/>
      <w:kern w:val="0"/>
      <w:sz w:val="20"/>
      <w:szCs w:val="20"/>
    </w:rPr>
  </w:style>
  <w:style w:type="character" w:default="1" w:styleId="39">
    <w:name w:val="Default Paragraph Font"/>
    <w:link w:val="40"/>
    <w:semiHidden/>
    <w:unhideWhenUsed/>
    <w:qFormat/>
    <w:uiPriority w:val="1"/>
    <w:rPr>
      <w:sz w:val="28"/>
      <w:szCs w:val="28"/>
    </w:rPr>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28"/>
      <w:szCs w:val="28"/>
      <w:lang w:val="zh-CN" w:eastAsia="zh-CN" w:bidi="zh-CN"/>
    </w:rPr>
  </w:style>
  <w:style w:type="paragraph" w:styleId="5">
    <w:name w:val="Normal Indent"/>
    <w:basedOn w:val="1"/>
    <w:link w:val="223"/>
    <w:unhideWhenUsed/>
    <w:qFormat/>
    <w:uiPriority w:val="0"/>
    <w:pPr>
      <w:adjustRightInd w:val="0"/>
      <w:spacing w:line="360" w:lineRule="atLeast"/>
      <w:ind w:firstLine="420" w:firstLineChars="200"/>
      <w:jc w:val="left"/>
      <w:textAlignment w:val="baseline"/>
    </w:pPr>
    <w:rPr>
      <w:rFonts w:eastAsia="仿宋_GB2312" w:cstheme="minorBidi"/>
      <w:kern w:val="0"/>
      <w:szCs w:val="20"/>
    </w:rPr>
  </w:style>
  <w:style w:type="paragraph" w:styleId="13">
    <w:name w:val="toc 7"/>
    <w:basedOn w:val="1"/>
    <w:next w:val="1"/>
    <w:unhideWhenUsed/>
    <w:qFormat/>
    <w:uiPriority w:val="39"/>
    <w:pPr>
      <w:spacing w:line="360" w:lineRule="auto"/>
      <w:ind w:left="2520" w:leftChars="1200" w:firstLine="200" w:firstLineChars="200"/>
    </w:pPr>
    <w:rPr>
      <w:rFonts w:eastAsia="仿宋_GB2312" w:cstheme="minorBidi"/>
      <w:szCs w:val="20"/>
    </w:rPr>
  </w:style>
  <w:style w:type="paragraph" w:styleId="14">
    <w:name w:val="caption"/>
    <w:basedOn w:val="1"/>
    <w:next w:val="1"/>
    <w:link w:val="156"/>
    <w:qFormat/>
    <w:uiPriority w:val="0"/>
    <w:pPr>
      <w:widowControl/>
      <w:spacing w:after="200" w:line="360" w:lineRule="auto"/>
      <w:ind w:firstLine="200" w:firstLineChars="200"/>
      <w:jc w:val="left"/>
    </w:pPr>
    <w:rPr>
      <w:rFonts w:ascii="Calibri" w:hAnsi="Calibri" w:eastAsia="仿宋_GB2312" w:cs="Arial"/>
      <w:i/>
      <w:iCs/>
      <w:color w:val="323232"/>
      <w:kern w:val="0"/>
      <w:sz w:val="18"/>
      <w:szCs w:val="18"/>
      <w:lang w:eastAsia="ja-JP"/>
    </w:rPr>
  </w:style>
  <w:style w:type="paragraph" w:styleId="15">
    <w:name w:val="Document Map"/>
    <w:basedOn w:val="1"/>
    <w:link w:val="82"/>
    <w:semiHidden/>
    <w:qFormat/>
    <w:uiPriority w:val="0"/>
    <w:pPr>
      <w:shd w:val="clear" w:color="auto" w:fill="000080"/>
      <w:spacing w:line="360" w:lineRule="auto"/>
      <w:ind w:firstLine="200" w:firstLineChars="200"/>
    </w:pPr>
    <w:rPr>
      <w:rFonts w:eastAsia="仿宋_GB2312" w:cs="Times New Roman"/>
      <w:color w:val="FF0000"/>
      <w:kern w:val="0"/>
    </w:rPr>
  </w:style>
  <w:style w:type="paragraph" w:styleId="16">
    <w:name w:val="annotation text"/>
    <w:basedOn w:val="1"/>
    <w:link w:val="66"/>
    <w:unhideWhenUsed/>
    <w:qFormat/>
    <w:uiPriority w:val="99"/>
    <w:pPr>
      <w:jc w:val="left"/>
    </w:pPr>
  </w:style>
  <w:style w:type="paragraph" w:styleId="17">
    <w:name w:val="Body Text Indent"/>
    <w:basedOn w:val="1"/>
    <w:link w:val="200"/>
    <w:qFormat/>
    <w:uiPriority w:val="0"/>
    <w:pPr>
      <w:spacing w:after="120"/>
      <w:ind w:left="420" w:leftChars="200"/>
    </w:pPr>
    <w:rPr>
      <w:rFonts w:ascii="Calibri" w:hAnsi="Calibri" w:cs="Times New Roman"/>
      <w:sz w:val="21"/>
      <w:szCs w:val="22"/>
    </w:rPr>
  </w:style>
  <w:style w:type="paragraph" w:styleId="18">
    <w:name w:val="toc 5"/>
    <w:basedOn w:val="1"/>
    <w:next w:val="1"/>
    <w:unhideWhenUsed/>
    <w:qFormat/>
    <w:uiPriority w:val="39"/>
    <w:pPr>
      <w:spacing w:line="360" w:lineRule="auto"/>
      <w:ind w:left="1680" w:leftChars="800" w:firstLine="200" w:firstLineChars="200"/>
    </w:pPr>
    <w:rPr>
      <w:rFonts w:eastAsia="仿宋_GB2312" w:cstheme="minorBidi"/>
      <w:szCs w:val="20"/>
    </w:rPr>
  </w:style>
  <w:style w:type="paragraph" w:styleId="19">
    <w:name w:val="toc 3"/>
    <w:basedOn w:val="1"/>
    <w:next w:val="1"/>
    <w:unhideWhenUsed/>
    <w:qFormat/>
    <w:uiPriority w:val="39"/>
    <w:pPr>
      <w:ind w:left="840" w:leftChars="400"/>
    </w:pPr>
  </w:style>
  <w:style w:type="paragraph" w:styleId="20">
    <w:name w:val="toc 8"/>
    <w:basedOn w:val="1"/>
    <w:next w:val="1"/>
    <w:unhideWhenUsed/>
    <w:qFormat/>
    <w:uiPriority w:val="39"/>
    <w:pPr>
      <w:spacing w:line="360" w:lineRule="auto"/>
      <w:ind w:left="2940" w:leftChars="1400" w:firstLine="200" w:firstLineChars="200"/>
    </w:pPr>
    <w:rPr>
      <w:rFonts w:eastAsia="仿宋_GB2312" w:cstheme="minorBidi"/>
      <w:szCs w:val="20"/>
    </w:rPr>
  </w:style>
  <w:style w:type="paragraph" w:styleId="21">
    <w:name w:val="Date"/>
    <w:basedOn w:val="1"/>
    <w:next w:val="1"/>
    <w:link w:val="64"/>
    <w:unhideWhenUsed/>
    <w:qFormat/>
    <w:uiPriority w:val="99"/>
    <w:pPr>
      <w:ind w:left="100" w:leftChars="2500"/>
    </w:pPr>
  </w:style>
  <w:style w:type="paragraph" w:styleId="22">
    <w:name w:val="Balloon Text"/>
    <w:basedOn w:val="1"/>
    <w:link w:val="63"/>
    <w:unhideWhenUsed/>
    <w:qFormat/>
    <w:uiPriority w:val="99"/>
    <w:rPr>
      <w:sz w:val="18"/>
      <w:szCs w:val="18"/>
    </w:rPr>
  </w:style>
  <w:style w:type="paragraph" w:styleId="23">
    <w:name w:val="footer"/>
    <w:basedOn w:val="1"/>
    <w:link w:val="55"/>
    <w:unhideWhenUsed/>
    <w:qFormat/>
    <w:uiPriority w:val="99"/>
    <w:pPr>
      <w:tabs>
        <w:tab w:val="center" w:pos="4153"/>
        <w:tab w:val="right" w:pos="8306"/>
      </w:tabs>
      <w:snapToGrid w:val="0"/>
      <w:jc w:val="left"/>
    </w:pPr>
    <w:rPr>
      <w:sz w:val="18"/>
      <w:szCs w:val="18"/>
    </w:rPr>
  </w:style>
  <w:style w:type="paragraph" w:styleId="24">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tabs>
        <w:tab w:val="right" w:leader="dot" w:pos="8296"/>
      </w:tabs>
      <w:spacing w:line="360" w:lineRule="auto"/>
    </w:pPr>
    <w:rPr>
      <w:rFonts w:eastAsia="黑体" w:cs="Times New Roman"/>
    </w:rPr>
  </w:style>
  <w:style w:type="paragraph" w:styleId="26">
    <w:name w:val="toc 4"/>
    <w:basedOn w:val="1"/>
    <w:next w:val="1"/>
    <w:unhideWhenUsed/>
    <w:qFormat/>
    <w:uiPriority w:val="39"/>
    <w:pPr>
      <w:spacing w:line="360" w:lineRule="auto"/>
      <w:ind w:left="1260" w:leftChars="600" w:firstLine="200" w:firstLineChars="200"/>
    </w:pPr>
    <w:rPr>
      <w:rFonts w:eastAsia="仿宋_GB2312" w:cstheme="minorBidi"/>
      <w:szCs w:val="20"/>
    </w:rPr>
  </w:style>
  <w:style w:type="paragraph" w:styleId="27">
    <w:name w:val="Subtitle"/>
    <w:basedOn w:val="1"/>
    <w:next w:val="1"/>
    <w:link w:val="5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8">
    <w:name w:val="toc 6"/>
    <w:basedOn w:val="1"/>
    <w:next w:val="1"/>
    <w:unhideWhenUsed/>
    <w:qFormat/>
    <w:uiPriority w:val="39"/>
    <w:pPr>
      <w:spacing w:line="360" w:lineRule="auto"/>
      <w:ind w:left="2100" w:leftChars="1000" w:firstLine="200" w:firstLineChars="200"/>
    </w:pPr>
    <w:rPr>
      <w:rFonts w:eastAsia="仿宋_GB2312" w:cstheme="minorBidi"/>
      <w:szCs w:val="20"/>
    </w:rPr>
  </w:style>
  <w:style w:type="paragraph" w:styleId="29">
    <w:name w:val="toc 2"/>
    <w:basedOn w:val="1"/>
    <w:next w:val="1"/>
    <w:unhideWhenUsed/>
    <w:qFormat/>
    <w:uiPriority w:val="39"/>
    <w:pPr>
      <w:tabs>
        <w:tab w:val="right" w:leader="dot" w:pos="9730"/>
      </w:tabs>
      <w:spacing w:line="360" w:lineRule="auto"/>
      <w:ind w:left="480" w:leftChars="200"/>
    </w:pPr>
    <w:rPr>
      <w:rFonts w:eastAsia="仿宋_GB2312" w:cs="Times New Roman"/>
    </w:rPr>
  </w:style>
  <w:style w:type="paragraph" w:styleId="30">
    <w:name w:val="toc 9"/>
    <w:basedOn w:val="1"/>
    <w:next w:val="1"/>
    <w:unhideWhenUsed/>
    <w:qFormat/>
    <w:uiPriority w:val="39"/>
    <w:pPr>
      <w:spacing w:line="360" w:lineRule="auto"/>
      <w:ind w:left="3360" w:leftChars="1600" w:firstLine="200" w:firstLineChars="200"/>
    </w:pPr>
    <w:rPr>
      <w:rFonts w:eastAsia="仿宋_GB2312" w:cstheme="minorBidi"/>
      <w:szCs w:val="20"/>
    </w:rPr>
  </w:style>
  <w:style w:type="paragraph" w:styleId="31">
    <w:name w:val="HTML Preformatted"/>
    <w:basedOn w:val="1"/>
    <w:link w:val="202"/>
    <w:qFormat/>
    <w:uiPriority w:val="0"/>
    <w:rPr>
      <w:rFonts w:ascii="Courier New" w:hAnsi="Courier New" w:cs="Courier New" w:eastAsiaTheme="minorEastAsia"/>
      <w:szCs w:val="20"/>
    </w:rPr>
  </w:style>
  <w:style w:type="paragraph" w:styleId="32">
    <w:name w:val="Normal (Web)"/>
    <w:basedOn w:val="1"/>
    <w:qFormat/>
    <w:uiPriority w:val="0"/>
    <w:pPr>
      <w:widowControl/>
      <w:spacing w:before="100" w:beforeAutospacing="1" w:after="100" w:afterAutospacing="1" w:line="360" w:lineRule="auto"/>
      <w:ind w:firstLine="200" w:firstLineChars="200"/>
      <w:jc w:val="left"/>
    </w:pPr>
    <w:rPr>
      <w:rFonts w:ascii="宋体" w:hAnsi="宋体" w:eastAsia="仿宋_GB2312"/>
      <w:kern w:val="0"/>
      <w:szCs w:val="21"/>
    </w:rPr>
  </w:style>
  <w:style w:type="paragraph" w:styleId="33">
    <w:name w:val="index 1"/>
    <w:basedOn w:val="1"/>
    <w:next w:val="1"/>
    <w:unhideWhenUsed/>
    <w:qFormat/>
    <w:uiPriority w:val="0"/>
    <w:pPr>
      <w:spacing w:line="360" w:lineRule="auto"/>
      <w:jc w:val="center"/>
    </w:pPr>
    <w:rPr>
      <w:rFonts w:cs="Times New Roman"/>
      <w:color w:val="000000"/>
      <w:sz w:val="21"/>
      <w:szCs w:val="21"/>
    </w:rPr>
  </w:style>
  <w:style w:type="paragraph" w:styleId="34">
    <w:name w:val="Title"/>
    <w:basedOn w:val="1"/>
    <w:next w:val="1"/>
    <w:link w:val="58"/>
    <w:qFormat/>
    <w:uiPriority w:val="0"/>
    <w:pPr>
      <w:spacing w:before="240" w:after="60"/>
      <w:jc w:val="center"/>
      <w:outlineLvl w:val="0"/>
    </w:pPr>
    <w:rPr>
      <w:rFonts w:asciiTheme="majorHAnsi" w:hAnsiTheme="majorHAnsi" w:cstheme="majorBidi"/>
      <w:b/>
      <w:bCs/>
      <w:sz w:val="32"/>
      <w:szCs w:val="32"/>
    </w:rPr>
  </w:style>
  <w:style w:type="paragraph" w:styleId="35">
    <w:name w:val="annotation subject"/>
    <w:basedOn w:val="16"/>
    <w:next w:val="16"/>
    <w:link w:val="67"/>
    <w:unhideWhenUsed/>
    <w:qFormat/>
    <w:uiPriority w:val="99"/>
    <w:rPr>
      <w:b/>
      <w:bCs/>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Light Shading"/>
    <w:basedOn w:val="36"/>
    <w:qFormat/>
    <w:uiPriority w:val="60"/>
    <w:rPr>
      <w:rFonts w:ascii="Calibri" w:hAnsi="Calibri"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0">
    <w:name w:val="Char Char Char1 Char Char Char1 Char Char Char1 Char"/>
    <w:basedOn w:val="1"/>
    <w:link w:val="39"/>
    <w:qFormat/>
    <w:uiPriority w:val="0"/>
    <w:pPr>
      <w:spacing w:line="400" w:lineRule="exact"/>
      <w:ind w:firstLine="200" w:firstLineChars="200"/>
    </w:pPr>
    <w:rPr>
      <w:sz w:val="28"/>
      <w:szCs w:val="28"/>
    </w:rPr>
  </w:style>
  <w:style w:type="character" w:styleId="41">
    <w:name w:val="Strong"/>
    <w:basedOn w:val="39"/>
    <w:qFormat/>
    <w:uiPriority w:val="22"/>
    <w:rPr>
      <w:b/>
      <w:bCs/>
    </w:rPr>
  </w:style>
  <w:style w:type="character" w:styleId="42">
    <w:name w:val="page number"/>
    <w:qFormat/>
    <w:uiPriority w:val="0"/>
  </w:style>
  <w:style w:type="character" w:styleId="43">
    <w:name w:val="FollowedHyperlink"/>
    <w:unhideWhenUsed/>
    <w:qFormat/>
    <w:uiPriority w:val="99"/>
    <w:rPr>
      <w:color w:val="338DE6"/>
      <w:u w:val="none"/>
    </w:rPr>
  </w:style>
  <w:style w:type="character" w:styleId="44">
    <w:name w:val="Emphasis"/>
    <w:qFormat/>
    <w:uiPriority w:val="20"/>
  </w:style>
  <w:style w:type="character" w:styleId="45">
    <w:name w:val="HTML Definition"/>
    <w:unhideWhenUsed/>
    <w:qFormat/>
    <w:uiPriority w:val="99"/>
  </w:style>
  <w:style w:type="character" w:styleId="46">
    <w:name w:val="HTML Acronym"/>
    <w:basedOn w:val="39"/>
    <w:unhideWhenUsed/>
    <w:qFormat/>
    <w:uiPriority w:val="99"/>
  </w:style>
  <w:style w:type="character" w:styleId="47">
    <w:name w:val="HTML Variable"/>
    <w:unhideWhenUsed/>
    <w:qFormat/>
    <w:uiPriority w:val="99"/>
  </w:style>
  <w:style w:type="character" w:styleId="48">
    <w:name w:val="Hyperlink"/>
    <w:basedOn w:val="39"/>
    <w:unhideWhenUsed/>
    <w:qFormat/>
    <w:uiPriority w:val="99"/>
    <w:rPr>
      <w:color w:val="0563C1" w:themeColor="hyperlink"/>
      <w:u w:val="single"/>
      <w14:textFill>
        <w14:solidFill>
          <w14:schemeClr w14:val="hlink"/>
        </w14:solidFill>
      </w14:textFill>
    </w:rPr>
  </w:style>
  <w:style w:type="character" w:styleId="49">
    <w:name w:val="HTML Code"/>
    <w:unhideWhenUsed/>
    <w:qFormat/>
    <w:uiPriority w:val="99"/>
    <w:rPr>
      <w:rFonts w:hint="default" w:ascii="monospace" w:hAnsi="monospace" w:eastAsia="monospace" w:cs="monospace"/>
      <w:sz w:val="21"/>
      <w:szCs w:val="21"/>
    </w:rPr>
  </w:style>
  <w:style w:type="character" w:styleId="50">
    <w:name w:val="annotation reference"/>
    <w:basedOn w:val="39"/>
    <w:unhideWhenUsed/>
    <w:qFormat/>
    <w:uiPriority w:val="99"/>
    <w:rPr>
      <w:sz w:val="21"/>
      <w:szCs w:val="21"/>
    </w:rPr>
  </w:style>
  <w:style w:type="character" w:styleId="51">
    <w:name w:val="HTML Cite"/>
    <w:unhideWhenUsed/>
    <w:qFormat/>
    <w:uiPriority w:val="99"/>
  </w:style>
  <w:style w:type="character" w:styleId="52">
    <w:name w:val="HTML Keyboard"/>
    <w:unhideWhenUsed/>
    <w:qFormat/>
    <w:uiPriority w:val="99"/>
    <w:rPr>
      <w:rFonts w:ascii="monospace" w:hAnsi="monospace" w:eastAsia="monospace" w:cs="monospace"/>
      <w:sz w:val="21"/>
      <w:szCs w:val="21"/>
    </w:rPr>
  </w:style>
  <w:style w:type="character" w:styleId="53">
    <w:name w:val="HTML Sample"/>
    <w:unhideWhenUsed/>
    <w:qFormat/>
    <w:uiPriority w:val="99"/>
    <w:rPr>
      <w:rFonts w:hint="default" w:ascii="monospace" w:hAnsi="monospace" w:eastAsia="monospace" w:cs="monospace"/>
      <w:sz w:val="21"/>
      <w:szCs w:val="21"/>
    </w:rPr>
  </w:style>
  <w:style w:type="character" w:customStyle="1" w:styleId="54">
    <w:name w:val="页眉 Char"/>
    <w:basedOn w:val="39"/>
    <w:link w:val="24"/>
    <w:qFormat/>
    <w:uiPriority w:val="99"/>
    <w:rPr>
      <w:sz w:val="18"/>
      <w:szCs w:val="18"/>
    </w:rPr>
  </w:style>
  <w:style w:type="character" w:customStyle="1" w:styleId="55">
    <w:name w:val="页脚 Char"/>
    <w:basedOn w:val="39"/>
    <w:link w:val="23"/>
    <w:qFormat/>
    <w:uiPriority w:val="99"/>
    <w:rPr>
      <w:sz w:val="18"/>
      <w:szCs w:val="18"/>
    </w:rPr>
  </w:style>
  <w:style w:type="character" w:customStyle="1" w:styleId="56">
    <w:name w:val="标题 1 Char"/>
    <w:basedOn w:val="39"/>
    <w:link w:val="3"/>
    <w:qFormat/>
    <w:uiPriority w:val="9"/>
    <w:rPr>
      <w:bCs/>
      <w:color w:val="auto"/>
      <w:kern w:val="44"/>
      <w:sz w:val="44"/>
      <w:szCs w:val="44"/>
    </w:rPr>
  </w:style>
  <w:style w:type="character" w:customStyle="1" w:styleId="57">
    <w:name w:val="标题 2 Char"/>
    <w:basedOn w:val="39"/>
    <w:link w:val="4"/>
    <w:qFormat/>
    <w:uiPriority w:val="9"/>
    <w:rPr>
      <w:rFonts w:asciiTheme="majorHAnsi" w:hAnsiTheme="majorHAnsi" w:eastAsiaTheme="majorEastAsia" w:cstheme="majorBidi"/>
      <w:b/>
      <w:bCs/>
      <w:color w:val="auto"/>
      <w:sz w:val="32"/>
      <w:szCs w:val="32"/>
    </w:rPr>
  </w:style>
  <w:style w:type="character" w:customStyle="1" w:styleId="58">
    <w:name w:val="标题 Char"/>
    <w:basedOn w:val="39"/>
    <w:link w:val="34"/>
    <w:qFormat/>
    <w:uiPriority w:val="0"/>
    <w:rPr>
      <w:rFonts w:asciiTheme="majorHAnsi" w:hAnsiTheme="majorHAnsi" w:cstheme="majorBidi"/>
      <w:b/>
      <w:bCs/>
      <w:color w:val="auto"/>
      <w:sz w:val="32"/>
      <w:szCs w:val="32"/>
    </w:rPr>
  </w:style>
  <w:style w:type="character" w:customStyle="1" w:styleId="59">
    <w:name w:val="副标题 Char"/>
    <w:basedOn w:val="39"/>
    <w:link w:val="27"/>
    <w:qFormat/>
    <w:uiPriority w:val="11"/>
    <w:rPr>
      <w:rFonts w:asciiTheme="majorHAnsi" w:hAnsiTheme="majorHAnsi" w:cstheme="majorBidi"/>
      <w:b/>
      <w:bCs/>
      <w:color w:val="auto"/>
      <w:kern w:val="28"/>
      <w:sz w:val="32"/>
      <w:szCs w:val="32"/>
    </w:rPr>
  </w:style>
  <w:style w:type="paragraph" w:styleId="60">
    <w:name w:val="No Spacing"/>
    <w:qFormat/>
    <w:uiPriority w:val="1"/>
    <w:pPr>
      <w:widowControl w:val="0"/>
      <w:jc w:val="both"/>
    </w:pPr>
    <w:rPr>
      <w:rFonts w:ascii="Times New Roman" w:hAnsi="Times New Roman" w:eastAsia="宋体" w:cs="宋体"/>
      <w:color w:val="auto"/>
      <w:kern w:val="2"/>
      <w:sz w:val="24"/>
      <w:szCs w:val="24"/>
      <w:lang w:val="en-US" w:eastAsia="zh-CN" w:bidi="ar-SA"/>
    </w:rPr>
  </w:style>
  <w:style w:type="paragraph" w:styleId="61">
    <w:name w:val="List Paragraph"/>
    <w:basedOn w:val="1"/>
    <w:qFormat/>
    <w:uiPriority w:val="34"/>
    <w:pPr>
      <w:ind w:firstLine="420" w:firstLineChars="200"/>
    </w:pPr>
  </w:style>
  <w:style w:type="character" w:customStyle="1" w:styleId="62">
    <w:name w:val="标题 3 Char"/>
    <w:basedOn w:val="39"/>
    <w:link w:val="6"/>
    <w:qFormat/>
    <w:uiPriority w:val="9"/>
    <w:rPr>
      <w:b/>
      <w:bCs/>
      <w:color w:val="auto"/>
      <w:sz w:val="32"/>
      <w:szCs w:val="32"/>
    </w:rPr>
  </w:style>
  <w:style w:type="character" w:customStyle="1" w:styleId="63">
    <w:name w:val="批注框文本 Char"/>
    <w:basedOn w:val="39"/>
    <w:link w:val="22"/>
    <w:qFormat/>
    <w:uiPriority w:val="99"/>
    <w:rPr>
      <w:color w:val="auto"/>
      <w:sz w:val="18"/>
      <w:szCs w:val="18"/>
    </w:rPr>
  </w:style>
  <w:style w:type="character" w:customStyle="1" w:styleId="64">
    <w:name w:val="日期 Char"/>
    <w:basedOn w:val="39"/>
    <w:link w:val="21"/>
    <w:qFormat/>
    <w:uiPriority w:val="99"/>
    <w:rPr>
      <w:color w:val="auto"/>
    </w:rPr>
  </w:style>
  <w:style w:type="paragraph" w:customStyle="1" w:styleId="65">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66">
    <w:name w:val="批注文字 Char"/>
    <w:basedOn w:val="39"/>
    <w:link w:val="16"/>
    <w:qFormat/>
    <w:uiPriority w:val="99"/>
    <w:rPr>
      <w:color w:val="auto"/>
    </w:rPr>
  </w:style>
  <w:style w:type="character" w:customStyle="1" w:styleId="67">
    <w:name w:val="批注主题 Char"/>
    <w:basedOn w:val="66"/>
    <w:link w:val="35"/>
    <w:qFormat/>
    <w:uiPriority w:val="99"/>
    <w:rPr>
      <w:b/>
      <w:bCs/>
      <w:color w:val="auto"/>
    </w:rPr>
  </w:style>
  <w:style w:type="character" w:customStyle="1" w:styleId="68">
    <w:name w:val="标题 4 Char"/>
    <w:basedOn w:val="39"/>
    <w:link w:val="7"/>
    <w:qFormat/>
    <w:uiPriority w:val="0"/>
    <w:rPr>
      <w:rFonts w:asciiTheme="majorHAnsi" w:hAnsiTheme="majorHAnsi" w:eastAsiaTheme="majorEastAsia" w:cstheme="majorBidi"/>
      <w:b/>
      <w:bCs/>
      <w:color w:val="auto"/>
      <w:sz w:val="28"/>
      <w:szCs w:val="28"/>
    </w:rPr>
  </w:style>
  <w:style w:type="table" w:customStyle="1" w:styleId="69">
    <w:name w:val="浅色底纹112"/>
    <w:basedOn w:val="36"/>
    <w:qFormat/>
    <w:uiPriority w:val="60"/>
    <w:rPr>
      <w:rFonts w:ascii="Calibri" w:hAnsi="Calibri"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70">
    <w:name w:val="lily 表格1"/>
    <w:basedOn w:val="36"/>
    <w:qFormat/>
    <w:uiPriority w:val="1"/>
    <w:rPr>
      <w:rFonts w:asciiTheme="minorHAnsi" w:hAnsiTheme="minorHAnsi" w:eastAsiaTheme="minorEastAsia" w:cstheme="minorBidi"/>
      <w:color w:val="auto"/>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lily 表格11"/>
    <w:basedOn w:val="36"/>
    <w:qFormat/>
    <w:uiPriority w:val="1"/>
    <w:rPr>
      <w:rFonts w:asciiTheme="minorHAnsi" w:hAnsiTheme="minorHAnsi" w:eastAsiaTheme="minorEastAsia" w:cstheme="minorBidi"/>
      <w:color w:val="auto"/>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lily 表格12"/>
    <w:basedOn w:val="36"/>
    <w:qFormat/>
    <w:uiPriority w:val="1"/>
    <w:rPr>
      <w:rFonts w:asciiTheme="minorHAnsi" w:hAnsiTheme="minorHAnsi" w:eastAsiaTheme="minorEastAsia" w:cstheme="minorBidi"/>
      <w:color w:val="auto"/>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Revision"/>
    <w:hidden/>
    <w:qFormat/>
    <w:uiPriority w:val="99"/>
    <w:rPr>
      <w:rFonts w:ascii="Times New Roman" w:hAnsi="Times New Roman" w:eastAsia="宋体" w:cs="宋体"/>
      <w:color w:val="auto"/>
      <w:kern w:val="2"/>
      <w:sz w:val="24"/>
      <w:szCs w:val="24"/>
      <w:lang w:val="en-US" w:eastAsia="zh-CN" w:bidi="ar-SA"/>
    </w:rPr>
  </w:style>
  <w:style w:type="character" w:customStyle="1" w:styleId="74">
    <w:name w:val="标题 5 Char"/>
    <w:basedOn w:val="39"/>
    <w:link w:val="8"/>
    <w:qFormat/>
    <w:uiPriority w:val="0"/>
    <w:rPr>
      <w:rFonts w:eastAsia="仿宋_GB2312" w:cstheme="minorBidi"/>
      <w:b/>
      <w:bCs/>
      <w:color w:val="auto"/>
      <w:sz w:val="28"/>
      <w:szCs w:val="28"/>
    </w:rPr>
  </w:style>
  <w:style w:type="character" w:customStyle="1" w:styleId="75">
    <w:name w:val="标题 6 Char"/>
    <w:basedOn w:val="39"/>
    <w:link w:val="9"/>
    <w:qFormat/>
    <w:uiPriority w:val="0"/>
    <w:rPr>
      <w:rFonts w:ascii="Calibri Light" w:hAnsi="Calibri Light" w:eastAsia="仿宋_GB2312" w:cstheme="minorBidi"/>
      <w:i/>
      <w:iCs/>
      <w:color w:val="252525"/>
      <w:kern w:val="0"/>
      <w:sz w:val="20"/>
      <w:szCs w:val="20"/>
    </w:rPr>
  </w:style>
  <w:style w:type="character" w:customStyle="1" w:styleId="76">
    <w:name w:val="标题 7 Char"/>
    <w:basedOn w:val="39"/>
    <w:link w:val="10"/>
    <w:qFormat/>
    <w:uiPriority w:val="0"/>
    <w:rPr>
      <w:rFonts w:ascii="Calibri Light" w:hAnsi="Calibri Light" w:eastAsia="仿宋_GB2312" w:cstheme="minorBidi"/>
      <w:i/>
      <w:iCs/>
      <w:color w:val="404040"/>
      <w:kern w:val="0"/>
      <w:sz w:val="20"/>
      <w:szCs w:val="20"/>
    </w:rPr>
  </w:style>
  <w:style w:type="character" w:customStyle="1" w:styleId="77">
    <w:name w:val="标题 8 Char"/>
    <w:basedOn w:val="39"/>
    <w:link w:val="11"/>
    <w:qFormat/>
    <w:uiPriority w:val="0"/>
    <w:rPr>
      <w:rFonts w:ascii="Calibri Light" w:hAnsi="Calibri Light" w:eastAsia="仿宋_GB2312" w:cstheme="minorBidi"/>
      <w:color w:val="404040"/>
      <w:kern w:val="0"/>
      <w:sz w:val="20"/>
      <w:szCs w:val="20"/>
    </w:rPr>
  </w:style>
  <w:style w:type="character" w:customStyle="1" w:styleId="78">
    <w:name w:val="标题 9 Char"/>
    <w:basedOn w:val="39"/>
    <w:link w:val="12"/>
    <w:qFormat/>
    <w:uiPriority w:val="0"/>
    <w:rPr>
      <w:rFonts w:ascii="Calibri Light" w:hAnsi="Calibri Light" w:eastAsia="仿宋_GB2312" w:cstheme="minorBidi"/>
      <w:i/>
      <w:iCs/>
      <w:color w:val="404040"/>
      <w:kern w:val="0"/>
      <w:sz w:val="20"/>
      <w:szCs w:val="20"/>
    </w:rPr>
  </w:style>
  <w:style w:type="paragraph" w:customStyle="1" w:styleId="79">
    <w:name w:val="标题2"/>
    <w:basedOn w:val="4"/>
    <w:link w:val="80"/>
    <w:qFormat/>
    <w:uiPriority w:val="1"/>
    <w:pPr>
      <w:spacing w:before="120" w:beforeLines="50" w:after="120" w:afterLines="50" w:line="360" w:lineRule="auto"/>
      <w:jc w:val="left"/>
    </w:pPr>
    <w:rPr>
      <w:rFonts w:ascii="Times New Roman" w:hAnsi="Times New Roman" w:eastAsia="宋体" w:cs="Times New Roman"/>
      <w:b w:val="0"/>
      <w:sz w:val="30"/>
    </w:rPr>
  </w:style>
  <w:style w:type="character" w:customStyle="1" w:styleId="80">
    <w:name w:val="标题2 Char"/>
    <w:link w:val="79"/>
    <w:qFormat/>
    <w:uiPriority w:val="1"/>
    <w:rPr>
      <w:rFonts w:cs="Times New Roman"/>
      <w:bCs/>
      <w:color w:val="auto"/>
      <w:sz w:val="30"/>
      <w:szCs w:val="32"/>
    </w:rPr>
  </w:style>
  <w:style w:type="paragraph" w:customStyle="1" w:styleId="81">
    <w:name w:val="列出段落1"/>
    <w:basedOn w:val="1"/>
    <w:qFormat/>
    <w:uiPriority w:val="34"/>
    <w:pPr>
      <w:spacing w:line="360" w:lineRule="auto"/>
      <w:ind w:firstLine="420" w:firstLineChars="200"/>
    </w:pPr>
    <w:rPr>
      <w:rFonts w:eastAsia="仿宋_GB2312" w:cstheme="minorBidi"/>
      <w:szCs w:val="21"/>
    </w:rPr>
  </w:style>
  <w:style w:type="character" w:customStyle="1" w:styleId="82">
    <w:name w:val="文档结构图 Char"/>
    <w:basedOn w:val="39"/>
    <w:link w:val="15"/>
    <w:semiHidden/>
    <w:qFormat/>
    <w:uiPriority w:val="0"/>
    <w:rPr>
      <w:rFonts w:eastAsia="仿宋_GB2312" w:cs="Times New Roman"/>
      <w:kern w:val="0"/>
      <w:shd w:val="clear" w:color="auto" w:fill="000080"/>
    </w:rPr>
  </w:style>
  <w:style w:type="character" w:customStyle="1" w:styleId="83">
    <w:name w:val="文档结构图 Char1"/>
    <w:basedOn w:val="39"/>
    <w:semiHidden/>
    <w:qFormat/>
    <w:uiPriority w:val="99"/>
    <w:rPr>
      <w:rFonts w:ascii="Microsoft YaHei UI" w:eastAsia="Microsoft YaHei UI"/>
      <w:color w:val="auto"/>
      <w:sz w:val="18"/>
      <w:szCs w:val="18"/>
    </w:rPr>
  </w:style>
  <w:style w:type="character" w:customStyle="1" w:styleId="84">
    <w:name w:val="font21"/>
    <w:qFormat/>
    <w:uiPriority w:val="0"/>
    <w:rPr>
      <w:rFonts w:hint="eastAsia" w:ascii="宋体" w:hAnsi="宋体" w:eastAsia="宋体" w:cs="宋体"/>
      <w:color w:val="000000"/>
      <w:sz w:val="20"/>
      <w:szCs w:val="20"/>
      <w:u w:val="none"/>
    </w:rPr>
  </w:style>
  <w:style w:type="character" w:customStyle="1" w:styleId="85">
    <w:name w:val="font51"/>
    <w:qFormat/>
    <w:uiPriority w:val="0"/>
    <w:rPr>
      <w:rFonts w:ascii="Arial" w:hAnsi="Arial" w:cs="Arial"/>
      <w:color w:val="000000"/>
      <w:sz w:val="20"/>
      <w:szCs w:val="20"/>
      <w:u w:val="none"/>
    </w:rPr>
  </w:style>
  <w:style w:type="character" w:customStyle="1" w:styleId="86">
    <w:name w:val="font11"/>
    <w:qFormat/>
    <w:uiPriority w:val="0"/>
    <w:rPr>
      <w:rFonts w:ascii="Arial" w:hAnsi="Arial" w:cs="Arial"/>
      <w:b/>
      <w:color w:val="000000"/>
      <w:sz w:val="20"/>
      <w:szCs w:val="20"/>
      <w:u w:val="none"/>
      <w:vertAlign w:val="superscript"/>
    </w:rPr>
  </w:style>
  <w:style w:type="character" w:customStyle="1" w:styleId="87">
    <w:name w:val="font41"/>
    <w:qFormat/>
    <w:uiPriority w:val="0"/>
    <w:rPr>
      <w:rFonts w:ascii="Arial" w:hAnsi="Arial" w:cs="Arial"/>
      <w:color w:val="000000"/>
      <w:sz w:val="20"/>
      <w:szCs w:val="20"/>
      <w:u w:val="none"/>
    </w:rPr>
  </w:style>
  <w:style w:type="character" w:customStyle="1" w:styleId="88">
    <w:name w:val="fontborder"/>
    <w:qFormat/>
    <w:uiPriority w:val="0"/>
    <w:rPr>
      <w:bdr w:val="single" w:color="000000" w:sz="6" w:space="0"/>
    </w:rPr>
  </w:style>
  <w:style w:type="character" w:customStyle="1" w:styleId="89">
    <w:name w:val="font01"/>
    <w:qFormat/>
    <w:uiPriority w:val="0"/>
    <w:rPr>
      <w:rFonts w:ascii="Arial" w:hAnsi="Arial" w:cs="Arial"/>
      <w:color w:val="000000"/>
      <w:sz w:val="20"/>
      <w:szCs w:val="20"/>
      <w:u w:val="none"/>
      <w:vertAlign w:val="subscript"/>
    </w:rPr>
  </w:style>
  <w:style w:type="character" w:customStyle="1" w:styleId="90">
    <w:name w:val="fontstrikethrough"/>
    <w:qFormat/>
    <w:uiPriority w:val="0"/>
    <w:rPr>
      <w:strike/>
    </w:rPr>
  </w:style>
  <w:style w:type="character" w:customStyle="1" w:styleId="91">
    <w:name w:val="result"/>
    <w:basedOn w:val="39"/>
    <w:qFormat/>
    <w:uiPriority w:val="0"/>
  </w:style>
  <w:style w:type="character" w:customStyle="1" w:styleId="92">
    <w:name w:val="no"/>
    <w:basedOn w:val="39"/>
    <w:qFormat/>
    <w:uiPriority w:val="0"/>
  </w:style>
  <w:style w:type="character" w:customStyle="1" w:styleId="93">
    <w:name w:val="normal1"/>
    <w:qFormat/>
    <w:uiPriority w:val="0"/>
    <w:rPr>
      <w:b/>
      <w:sz w:val="19"/>
      <w:szCs w:val="19"/>
    </w:rPr>
  </w:style>
  <w:style w:type="character" w:customStyle="1" w:styleId="94">
    <w:name w:val="明显参考1"/>
    <w:qFormat/>
    <w:uiPriority w:val="32"/>
    <w:rPr>
      <w:b/>
      <w:bCs/>
      <w:smallCaps/>
      <w:color w:val="5B9BD5"/>
      <w:spacing w:val="5"/>
    </w:rPr>
  </w:style>
  <w:style w:type="character" w:customStyle="1" w:styleId="95">
    <w:name w:val="font31"/>
    <w:qFormat/>
    <w:uiPriority w:val="0"/>
    <w:rPr>
      <w:rFonts w:ascii="Arial" w:hAnsi="Arial" w:cs="Arial"/>
      <w:color w:val="000000"/>
      <w:sz w:val="20"/>
      <w:szCs w:val="20"/>
      <w:u w:val="none"/>
    </w:rPr>
  </w:style>
  <w:style w:type="character" w:customStyle="1" w:styleId="96">
    <w:name w:val="name"/>
    <w:basedOn w:val="39"/>
    <w:qFormat/>
    <w:uiPriority w:val="0"/>
  </w:style>
  <w:style w:type="paragraph" w:customStyle="1" w:styleId="97">
    <w:name w:val="Default"/>
    <w:unhideWhenUsed/>
    <w:qFormat/>
    <w:uiPriority w:val="99"/>
    <w:pPr>
      <w:widowControl w:val="0"/>
      <w:autoSpaceDE w:val="0"/>
      <w:autoSpaceDN w:val="0"/>
      <w:adjustRightInd w:val="0"/>
    </w:pPr>
    <w:rPr>
      <w:rFonts w:hint="eastAsia" w:ascii="宋体" w:hAnsi="宋体" w:eastAsia="宋体" w:cs="Times New Roman"/>
      <w:color w:val="000000"/>
      <w:kern w:val="0"/>
      <w:sz w:val="24"/>
      <w:szCs w:val="20"/>
      <w:lang w:val="en-US" w:eastAsia="zh-CN" w:bidi="ar-SA"/>
    </w:rPr>
  </w:style>
  <w:style w:type="paragraph" w:customStyle="1" w:styleId="98">
    <w:name w:val="列出段落2"/>
    <w:basedOn w:val="1"/>
    <w:qFormat/>
    <w:uiPriority w:val="34"/>
    <w:pPr>
      <w:spacing w:line="360" w:lineRule="auto"/>
      <w:ind w:firstLine="420" w:firstLineChars="200"/>
    </w:pPr>
    <w:rPr>
      <w:rFonts w:eastAsia="仿宋_GB2312" w:cstheme="minorBidi"/>
      <w:szCs w:val="20"/>
    </w:rPr>
  </w:style>
  <w:style w:type="paragraph" w:customStyle="1" w:styleId="99">
    <w:name w:val="列出段落21"/>
    <w:basedOn w:val="1"/>
    <w:qFormat/>
    <w:uiPriority w:val="34"/>
    <w:pPr>
      <w:spacing w:line="360" w:lineRule="auto"/>
      <w:ind w:firstLine="420" w:firstLineChars="200"/>
    </w:pPr>
    <w:rPr>
      <w:rFonts w:eastAsia="仿宋_GB2312" w:cstheme="minorBidi"/>
      <w:szCs w:val="20"/>
    </w:rPr>
  </w:style>
  <w:style w:type="paragraph" w:customStyle="1" w:styleId="100">
    <w:name w:val="列出段落3"/>
    <w:basedOn w:val="1"/>
    <w:qFormat/>
    <w:uiPriority w:val="34"/>
    <w:pPr>
      <w:spacing w:line="360" w:lineRule="auto"/>
      <w:ind w:firstLine="420" w:firstLineChars="200"/>
    </w:pPr>
    <w:rPr>
      <w:rFonts w:eastAsia="仿宋_GB2312" w:cstheme="minorBidi"/>
      <w:szCs w:val="22"/>
    </w:rPr>
  </w:style>
  <w:style w:type="paragraph" w:customStyle="1" w:styleId="101">
    <w:name w:val="无间隔1"/>
    <w:qFormat/>
    <w:uiPriority w:val="1"/>
    <w:pPr>
      <w:widowControl w:val="0"/>
      <w:spacing w:line="360" w:lineRule="auto"/>
      <w:ind w:firstLine="200" w:firstLineChars="200"/>
      <w:jc w:val="both"/>
    </w:pPr>
    <w:rPr>
      <w:rFonts w:ascii="Times New Roman" w:hAnsi="Times New Roman" w:eastAsia="宋体" w:cs="Times New Roman"/>
      <w:b/>
      <w:color w:val="auto"/>
      <w:kern w:val="2"/>
      <w:sz w:val="24"/>
      <w:szCs w:val="21"/>
      <w:lang w:val="en-US" w:eastAsia="zh-CN" w:bidi="ar-SA"/>
    </w:rPr>
  </w:style>
  <w:style w:type="paragraph" w:customStyle="1" w:styleId="102">
    <w:name w:val="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03">
    <w:name w:val="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04">
    <w:name w:val="Char1"/>
    <w:basedOn w:val="3"/>
    <w:qFormat/>
    <w:uiPriority w:val="0"/>
    <w:pPr>
      <w:keepNext w:val="0"/>
      <w:keepLines w:val="0"/>
      <w:tabs>
        <w:tab w:val="left" w:pos="360"/>
      </w:tabs>
      <w:spacing w:before="0" w:beforeLines="150" w:after="0" w:afterLines="50" w:line="360" w:lineRule="auto"/>
      <w:ind w:left="360" w:hanging="360"/>
      <w:jc w:val="center"/>
    </w:pPr>
    <w:rPr>
      <w:rFonts w:ascii="黑体" w:eastAsia="黑体" w:cstheme="minorBidi"/>
      <w:b/>
      <w:bCs w:val="0"/>
      <w:sz w:val="32"/>
      <w:szCs w:val="32"/>
    </w:rPr>
  </w:style>
  <w:style w:type="paragraph" w:customStyle="1" w:styleId="105">
    <w:name w:val="段"/>
    <w:qFormat/>
    <w:uiPriority w:val="0"/>
    <w:pPr>
      <w:autoSpaceDE w:val="0"/>
      <w:autoSpaceDN w:val="0"/>
      <w:ind w:firstLine="200" w:firstLineChars="200"/>
      <w:jc w:val="both"/>
    </w:pPr>
    <w:rPr>
      <w:rFonts w:ascii="宋体" w:hAnsi="Times New Roman" w:eastAsia="宋体" w:cs="Times New Roman"/>
      <w:color w:val="auto"/>
      <w:kern w:val="0"/>
      <w:sz w:val="21"/>
      <w:szCs w:val="20"/>
      <w:lang w:val="en-US" w:eastAsia="zh-CN" w:bidi="ar-SA"/>
    </w:rPr>
  </w:style>
  <w:style w:type="paragraph" w:customStyle="1" w:styleId="106">
    <w:name w:val="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07">
    <w:name w:val="样式 样式 正文缩进 + 段前: 0.5 行 段后: 0.5 行 + 首行缩进:  2 字符 段前: 6 磅"/>
    <w:basedOn w:val="1"/>
    <w:qFormat/>
    <w:uiPriority w:val="0"/>
    <w:pPr>
      <w:widowControl/>
      <w:tabs>
        <w:tab w:val="left" w:pos="0"/>
      </w:tabs>
      <w:spacing w:beforeLines="50" w:line="360" w:lineRule="auto"/>
      <w:ind w:firstLine="200" w:firstLineChars="200"/>
      <w:jc w:val="left"/>
    </w:pPr>
    <w:rPr>
      <w:rFonts w:eastAsia="仿宋_GB2312"/>
      <w:kern w:val="0"/>
      <w:szCs w:val="20"/>
    </w:rPr>
  </w:style>
  <w:style w:type="paragraph" w:customStyle="1" w:styleId="108">
    <w:name w:val="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character" w:customStyle="1" w:styleId="109">
    <w:name w:val="jrm402"/>
    <w:qFormat/>
    <w:uiPriority w:val="0"/>
    <w:rPr>
      <w:color w:val="333333"/>
      <w:sz w:val="20"/>
      <w:szCs w:val="20"/>
    </w:rPr>
  </w:style>
  <w:style w:type="paragraph" w:customStyle="1" w:styleId="110">
    <w:name w:val="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11">
    <w:name w:val="Char Char Char Char Char Char Char Char Char Char Char Char Char Char1"/>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12">
    <w:name w:val="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13">
    <w:name w:val="Char Char Char Char1 Char Char Char"/>
    <w:basedOn w:val="1"/>
    <w:qFormat/>
    <w:uiPriority w:val="0"/>
    <w:pPr>
      <w:widowControl/>
      <w:spacing w:after="160" w:line="240" w:lineRule="exact"/>
      <w:ind w:firstLine="200" w:firstLineChars="200"/>
      <w:jc w:val="left"/>
    </w:pPr>
    <w:rPr>
      <w:rFonts w:ascii="Verdana" w:hAnsi="Verdana" w:eastAsia="仿宋_GB2312" w:cstheme="minorBidi"/>
      <w:kern w:val="0"/>
      <w:szCs w:val="20"/>
      <w:lang w:eastAsia="en-US"/>
    </w:rPr>
  </w:style>
  <w:style w:type="paragraph" w:customStyle="1" w:styleId="114">
    <w:name w:val="Char1 Char Char Char"/>
    <w:basedOn w:val="1"/>
    <w:qFormat/>
    <w:uiPriority w:val="0"/>
    <w:pPr>
      <w:widowControl/>
      <w:spacing w:after="160" w:line="240" w:lineRule="exact"/>
      <w:ind w:firstLine="200" w:firstLineChars="200"/>
      <w:jc w:val="left"/>
    </w:pPr>
    <w:rPr>
      <w:rFonts w:ascii="Arial" w:hAnsi="Arial" w:eastAsia="Times New Roman" w:cs="Verdana"/>
      <w:b/>
      <w:kern w:val="0"/>
      <w:szCs w:val="21"/>
      <w:lang w:eastAsia="en-US"/>
    </w:rPr>
  </w:style>
  <w:style w:type="paragraph" w:customStyle="1" w:styleId="115">
    <w:name w:val="一、"/>
    <w:basedOn w:val="1"/>
    <w:qFormat/>
    <w:uiPriority w:val="0"/>
    <w:pPr>
      <w:kinsoku w:val="0"/>
      <w:adjustRightInd w:val="0"/>
      <w:snapToGrid w:val="0"/>
      <w:spacing w:line="440" w:lineRule="atLeast"/>
      <w:ind w:left="1412" w:hanging="567" w:firstLineChars="200"/>
      <w:textAlignment w:val="baseline"/>
    </w:pPr>
    <w:rPr>
      <w:rFonts w:eastAsia="華康特粗楷體" w:cstheme="minorBidi"/>
      <w:b/>
      <w:bCs/>
      <w:color w:val="FF0000"/>
      <w:kern w:val="20"/>
      <w:sz w:val="26"/>
      <w:szCs w:val="26"/>
      <w:u w:val="single"/>
      <w:lang w:eastAsia="zh-TW"/>
    </w:rPr>
  </w:style>
  <w:style w:type="paragraph" w:customStyle="1" w:styleId="116">
    <w:name w:val="(一)"/>
    <w:basedOn w:val="1"/>
    <w:link w:val="117"/>
    <w:qFormat/>
    <w:uiPriority w:val="0"/>
    <w:pPr>
      <w:kinsoku w:val="0"/>
      <w:adjustRightInd w:val="0"/>
      <w:snapToGrid w:val="0"/>
      <w:spacing w:line="440" w:lineRule="atLeast"/>
      <w:ind w:left="1991" w:hanging="522" w:firstLineChars="200"/>
      <w:textAlignment w:val="baseline"/>
    </w:pPr>
    <w:rPr>
      <w:rFonts w:eastAsia="華康楷書體W5" w:cstheme="minorBidi"/>
      <w:kern w:val="20"/>
      <w:sz w:val="26"/>
      <w:szCs w:val="26"/>
      <w:lang w:eastAsia="zh-TW"/>
    </w:rPr>
  </w:style>
  <w:style w:type="character" w:customStyle="1" w:styleId="117">
    <w:name w:val="(一) 字元"/>
    <w:link w:val="116"/>
    <w:qFormat/>
    <w:locked/>
    <w:uiPriority w:val="0"/>
    <w:rPr>
      <w:rFonts w:eastAsia="華康楷書體W5" w:cstheme="minorBidi"/>
      <w:color w:val="auto"/>
      <w:kern w:val="20"/>
      <w:sz w:val="26"/>
      <w:szCs w:val="26"/>
      <w:lang w:eastAsia="zh-TW"/>
    </w:rPr>
  </w:style>
  <w:style w:type="paragraph" w:customStyle="1" w:styleId="118">
    <w:name w:val="1.1目錄"/>
    <w:basedOn w:val="1"/>
    <w:qFormat/>
    <w:uiPriority w:val="0"/>
    <w:pPr>
      <w:tabs>
        <w:tab w:val="right" w:pos="9000"/>
      </w:tabs>
      <w:kinsoku w:val="0"/>
      <w:adjustRightInd w:val="0"/>
      <w:snapToGrid w:val="0"/>
      <w:spacing w:line="440" w:lineRule="atLeast"/>
      <w:ind w:right="1508" w:firstLine="200" w:firstLineChars="200"/>
      <w:textAlignment w:val="baseline"/>
    </w:pPr>
    <w:rPr>
      <w:rFonts w:eastAsia="華康楷書體W5" w:cstheme="minorBidi"/>
      <w:kern w:val="20"/>
      <w:sz w:val="26"/>
      <w:szCs w:val="26"/>
      <w:lang w:eastAsia="zh-TW"/>
    </w:rPr>
  </w:style>
  <w:style w:type="character" w:customStyle="1" w:styleId="119">
    <w:name w:val="Intense Quote Char"/>
    <w:link w:val="120"/>
    <w:qFormat/>
    <w:locked/>
    <w:uiPriority w:val="0"/>
    <w:rPr>
      <w:color w:val="000000"/>
      <w:shd w:val="clear" w:color="auto" w:fill="F2F2F2"/>
    </w:rPr>
  </w:style>
  <w:style w:type="paragraph" w:customStyle="1" w:styleId="120">
    <w:name w:val="Intense Quote1"/>
    <w:basedOn w:val="1"/>
    <w:next w:val="1"/>
    <w:link w:val="119"/>
    <w:qFormat/>
    <w:uiPriority w:val="0"/>
    <w:pPr>
      <w:widowControl/>
      <w:pBdr>
        <w:top w:val="single" w:color="F2F2F2" w:sz="24" w:space="1"/>
        <w:bottom w:val="single" w:color="F2F2F2" w:sz="24" w:space="1"/>
      </w:pBdr>
      <w:shd w:val="clear" w:color="auto" w:fill="F2F2F2"/>
      <w:spacing w:before="240" w:after="240" w:line="259" w:lineRule="auto"/>
      <w:ind w:left="936" w:right="936" w:firstLine="200" w:firstLineChars="200"/>
      <w:jc w:val="center"/>
    </w:pPr>
    <w:rPr>
      <w:color w:val="000000"/>
    </w:rPr>
  </w:style>
  <w:style w:type="character" w:customStyle="1" w:styleId="121">
    <w:name w:val="f16"/>
    <w:qFormat/>
    <w:uiPriority w:val="0"/>
    <w:rPr>
      <w:rFonts w:cs="Times New Roman"/>
    </w:rPr>
  </w:style>
  <w:style w:type="character" w:customStyle="1" w:styleId="122">
    <w:name w:val="标题 Char1"/>
    <w:qFormat/>
    <w:uiPriority w:val="0"/>
    <w:rPr>
      <w:rFonts w:ascii="Calibri Light" w:hAnsi="Calibri Light" w:eastAsia="宋体" w:cs="Times New Roman"/>
      <w:b/>
      <w:bCs/>
      <w:sz w:val="32"/>
      <w:szCs w:val="32"/>
    </w:rPr>
  </w:style>
  <w:style w:type="character" w:customStyle="1" w:styleId="123">
    <w:name w:val="Intense Reference1"/>
    <w:qFormat/>
    <w:uiPriority w:val="0"/>
    <w:rPr>
      <w:rFonts w:cs="Times New Roman"/>
      <w:b/>
      <w:bCs/>
      <w:smallCaps/>
      <w:u w:val="single"/>
    </w:rPr>
  </w:style>
  <w:style w:type="character" w:customStyle="1" w:styleId="124">
    <w:name w:val="Intense Emphasis1"/>
    <w:qFormat/>
    <w:uiPriority w:val="0"/>
    <w:rPr>
      <w:rFonts w:cs="Times New Roman"/>
      <w:b/>
      <w:bCs/>
      <w:i/>
      <w:iCs/>
      <w:caps/>
    </w:rPr>
  </w:style>
  <w:style w:type="character" w:customStyle="1" w:styleId="125">
    <w:name w:val="Subtle Reference1"/>
    <w:qFormat/>
    <w:uiPriority w:val="0"/>
    <w:rPr>
      <w:rFonts w:cs="Times New Roman"/>
      <w:smallCaps/>
      <w:color w:val="404040"/>
      <w:u w:val="single" w:color="7F7F7F"/>
    </w:rPr>
  </w:style>
  <w:style w:type="character" w:customStyle="1" w:styleId="126">
    <w:name w:val="Book Title1"/>
    <w:qFormat/>
    <w:uiPriority w:val="0"/>
    <w:rPr>
      <w:rFonts w:cs="Times New Roman"/>
      <w:smallCaps/>
      <w:spacing w:val="5"/>
    </w:rPr>
  </w:style>
  <w:style w:type="character" w:customStyle="1" w:styleId="127">
    <w:name w:val="Subtle Emphasis1"/>
    <w:qFormat/>
    <w:uiPriority w:val="0"/>
    <w:rPr>
      <w:rFonts w:cs="Times New Roman"/>
      <w:i/>
      <w:iCs/>
      <w:color w:val="404040"/>
    </w:rPr>
  </w:style>
  <w:style w:type="character" w:customStyle="1" w:styleId="128">
    <w:name w:val="副标题 Char1"/>
    <w:qFormat/>
    <w:uiPriority w:val="0"/>
    <w:rPr>
      <w:rFonts w:ascii="Calibri Light" w:hAnsi="Calibri Light" w:eastAsia="宋体" w:cs="Times New Roman"/>
      <w:b/>
      <w:bCs/>
      <w:kern w:val="28"/>
      <w:sz w:val="32"/>
      <w:szCs w:val="32"/>
    </w:rPr>
  </w:style>
  <w:style w:type="character" w:customStyle="1" w:styleId="129">
    <w:name w:val="Quote Char"/>
    <w:link w:val="130"/>
    <w:qFormat/>
    <w:locked/>
    <w:uiPriority w:val="0"/>
    <w:rPr>
      <w:i/>
      <w:iCs/>
      <w:color w:val="000000"/>
    </w:rPr>
  </w:style>
  <w:style w:type="paragraph" w:customStyle="1" w:styleId="130">
    <w:name w:val="Quote1"/>
    <w:basedOn w:val="1"/>
    <w:next w:val="1"/>
    <w:link w:val="129"/>
    <w:qFormat/>
    <w:uiPriority w:val="0"/>
    <w:pPr>
      <w:widowControl/>
      <w:spacing w:before="160" w:after="160" w:line="259" w:lineRule="auto"/>
      <w:ind w:left="720" w:right="720" w:firstLine="200" w:firstLineChars="200"/>
      <w:jc w:val="left"/>
    </w:pPr>
    <w:rPr>
      <w:i/>
      <w:iCs/>
      <w:color w:val="000000"/>
    </w:rPr>
  </w:style>
  <w:style w:type="paragraph" w:customStyle="1" w:styleId="131">
    <w:name w:val="TOC Heading1"/>
    <w:basedOn w:val="3"/>
    <w:next w:val="1"/>
    <w:qFormat/>
    <w:uiPriority w:val="0"/>
    <w:pPr>
      <w:widowControl/>
      <w:spacing w:before="0" w:beforeLines="150" w:after="0" w:afterLines="100" w:line="259" w:lineRule="auto"/>
      <w:jc w:val="left"/>
      <w:outlineLvl w:val="9"/>
    </w:pPr>
    <w:rPr>
      <w:rFonts w:ascii="Calibri Light" w:hAnsi="Calibri Light" w:eastAsia="黑体" w:cstheme="minorBidi"/>
      <w:smallCaps/>
      <w:color w:val="000000"/>
      <w:kern w:val="0"/>
      <w:sz w:val="32"/>
      <w:szCs w:val="36"/>
      <w:lang w:eastAsia="ja-JP"/>
    </w:rPr>
  </w:style>
  <w:style w:type="paragraph" w:customStyle="1" w:styleId="132">
    <w:name w:val="List Paragraph1"/>
    <w:basedOn w:val="1"/>
    <w:qFormat/>
    <w:uiPriority w:val="0"/>
    <w:pPr>
      <w:widowControl/>
      <w:spacing w:after="160" w:line="259" w:lineRule="auto"/>
      <w:ind w:left="720" w:firstLine="200" w:firstLineChars="200"/>
      <w:jc w:val="left"/>
    </w:pPr>
    <w:rPr>
      <w:rFonts w:ascii="Calibri" w:hAnsi="Calibri" w:eastAsia="仿宋_GB2312" w:cs="Arial"/>
      <w:kern w:val="0"/>
      <w:sz w:val="22"/>
      <w:szCs w:val="22"/>
      <w:lang w:eastAsia="ja-JP"/>
    </w:rPr>
  </w:style>
  <w:style w:type="paragraph" w:customStyle="1" w:styleId="133">
    <w:name w:val="No Spacing1"/>
    <w:qFormat/>
    <w:uiPriority w:val="0"/>
    <w:rPr>
      <w:rFonts w:ascii="Calibri" w:hAnsi="Calibri" w:eastAsia="宋体" w:cs="Arial"/>
      <w:color w:val="auto"/>
      <w:kern w:val="0"/>
      <w:sz w:val="22"/>
      <w:szCs w:val="21"/>
      <w:lang w:val="en-US" w:eastAsia="ja-JP" w:bidi="ar-SA"/>
    </w:rPr>
  </w:style>
  <w:style w:type="paragraph" w:customStyle="1" w:styleId="134">
    <w:name w:val="TOC 标题1"/>
    <w:basedOn w:val="3"/>
    <w:next w:val="1"/>
    <w:qFormat/>
    <w:uiPriority w:val="39"/>
    <w:pPr>
      <w:widowControl/>
      <w:spacing w:before="0" w:beforeLines="150" w:after="0" w:afterLines="100" w:line="276" w:lineRule="auto"/>
      <w:jc w:val="left"/>
      <w:outlineLvl w:val="9"/>
    </w:pPr>
    <w:rPr>
      <w:rFonts w:ascii="Cambria" w:hAnsi="Cambria" w:eastAsia="仿宋" w:cstheme="minorBidi"/>
      <w:color w:val="365F91"/>
      <w:kern w:val="0"/>
      <w:sz w:val="28"/>
      <w:szCs w:val="28"/>
    </w:rPr>
  </w:style>
  <w:style w:type="character" w:customStyle="1" w:styleId="135">
    <w:name w:val="apple-converted-space"/>
    <w:qFormat/>
    <w:uiPriority w:val="0"/>
  </w:style>
  <w:style w:type="character" w:customStyle="1" w:styleId="136">
    <w:name w:val="con"/>
    <w:qFormat/>
    <w:uiPriority w:val="0"/>
  </w:style>
  <w:style w:type="paragraph" w:customStyle="1" w:styleId="137">
    <w:name w:val="标题1"/>
    <w:basedOn w:val="1"/>
    <w:qFormat/>
    <w:uiPriority w:val="1"/>
    <w:pPr>
      <w:widowControl/>
      <w:spacing w:before="100" w:beforeAutospacing="1" w:after="100" w:afterAutospacing="1" w:line="360" w:lineRule="auto"/>
      <w:ind w:firstLine="200" w:firstLineChars="200"/>
      <w:jc w:val="left"/>
    </w:pPr>
    <w:rPr>
      <w:rFonts w:eastAsia="仿宋_GB2312" w:cstheme="minorBidi"/>
      <w:kern w:val="0"/>
      <w:szCs w:val="21"/>
    </w:rPr>
  </w:style>
  <w:style w:type="character" w:customStyle="1" w:styleId="138">
    <w:name w:val="body1"/>
    <w:qFormat/>
    <w:uiPriority w:val="1"/>
    <w:rPr>
      <w:rFonts w:hint="default" w:ascii="Arial" w:hAnsi="Arial" w:cs="Arial"/>
      <w:sz w:val="18"/>
      <w:szCs w:val="18"/>
    </w:rPr>
  </w:style>
  <w:style w:type="table" w:customStyle="1" w:styleId="139">
    <w:name w:val="无格式表格 21"/>
    <w:basedOn w:val="36"/>
    <w:qFormat/>
    <w:uiPriority w:val="42"/>
    <w:rPr>
      <w:rFonts w:asciiTheme="minorHAnsi" w:hAnsiTheme="minorHAnsi" w:eastAsiaTheme="minorEastAsia" w:cstheme="minorBidi"/>
      <w:color w:val="auto"/>
      <w:sz w:val="21"/>
      <w:szCs w:val="21"/>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40">
    <w:name w:val="表标题"/>
    <w:basedOn w:val="1"/>
    <w:qFormat/>
    <w:uiPriority w:val="0"/>
    <w:pPr>
      <w:adjustRightInd w:val="0"/>
      <w:snapToGrid w:val="0"/>
      <w:spacing w:before="50" w:beforeLines="50"/>
      <w:ind w:firstLine="200" w:firstLineChars="200"/>
      <w:jc w:val="center"/>
    </w:pPr>
    <w:rPr>
      <w:rFonts w:eastAsia="黑体" w:cstheme="minorBidi"/>
      <w:sz w:val="21"/>
      <w:szCs w:val="21"/>
    </w:rPr>
  </w:style>
  <w:style w:type="paragraph" w:customStyle="1" w:styleId="141">
    <w:name w:val="图标题"/>
    <w:basedOn w:val="140"/>
    <w:qFormat/>
    <w:uiPriority w:val="0"/>
    <w:pPr>
      <w:spacing w:before="0" w:beforeLines="0" w:after="50" w:afterLines="50"/>
    </w:pPr>
  </w:style>
  <w:style w:type="paragraph" w:customStyle="1" w:styleId="142">
    <w:name w:val="表格内容"/>
    <w:basedOn w:val="1"/>
    <w:qFormat/>
    <w:uiPriority w:val="0"/>
    <w:pPr>
      <w:jc w:val="center"/>
    </w:pPr>
    <w:rPr>
      <w:rFonts w:eastAsia="仿宋_GB2312" w:cstheme="minorBidi"/>
      <w:sz w:val="21"/>
      <w:szCs w:val="21"/>
    </w:rPr>
  </w:style>
  <w:style w:type="paragraph" w:customStyle="1" w:styleId="143">
    <w:name w:val="图片"/>
    <w:basedOn w:val="1"/>
    <w:qFormat/>
    <w:uiPriority w:val="0"/>
    <w:pPr>
      <w:adjustRightInd w:val="0"/>
      <w:snapToGrid w:val="0"/>
      <w:jc w:val="center"/>
    </w:pPr>
    <w:rPr>
      <w:rFonts w:eastAsia="黑体" w:cstheme="minorBidi"/>
      <w:kern w:val="0"/>
      <w:szCs w:val="21"/>
    </w:rPr>
  </w:style>
  <w:style w:type="paragraph" w:customStyle="1" w:styleId="144">
    <w:name w:val="reader-word-layer"/>
    <w:basedOn w:val="1"/>
    <w:qFormat/>
    <w:uiPriority w:val="0"/>
    <w:pPr>
      <w:widowControl/>
      <w:spacing w:before="100" w:beforeAutospacing="1" w:after="100" w:afterAutospacing="1"/>
      <w:jc w:val="left"/>
    </w:pPr>
    <w:rPr>
      <w:rFonts w:ascii="宋体" w:hAnsi="宋体"/>
      <w:kern w:val="0"/>
    </w:rPr>
  </w:style>
  <w:style w:type="character" w:customStyle="1" w:styleId="145">
    <w:name w:val="Intense Reference"/>
    <w:qFormat/>
    <w:uiPriority w:val="32"/>
    <w:rPr>
      <w:b/>
      <w:bCs/>
      <w:smallCaps/>
      <w:color w:val="5B9BD5"/>
      <w:spacing w:val="5"/>
    </w:rPr>
  </w:style>
  <w:style w:type="character" w:customStyle="1" w:styleId="146">
    <w:name w:val="页脚 Char1"/>
    <w:basedOn w:val="39"/>
    <w:semiHidden/>
    <w:qFormat/>
    <w:uiPriority w:val="99"/>
    <w:rPr>
      <w:rFonts w:ascii="Times New Roman" w:hAnsi="Times New Roman" w:eastAsia="仿宋_GB2312" w:cs="Times New Roman"/>
      <w:sz w:val="18"/>
      <w:szCs w:val="18"/>
    </w:rPr>
  </w:style>
  <w:style w:type="character" w:customStyle="1" w:styleId="147">
    <w:name w:val="批注框文本 Char1"/>
    <w:basedOn w:val="39"/>
    <w:semiHidden/>
    <w:qFormat/>
    <w:uiPriority w:val="99"/>
    <w:rPr>
      <w:rFonts w:ascii="Times New Roman" w:hAnsi="Times New Roman" w:eastAsia="仿宋_GB2312" w:cs="Times New Roman"/>
      <w:sz w:val="18"/>
      <w:szCs w:val="18"/>
    </w:rPr>
  </w:style>
  <w:style w:type="character" w:customStyle="1" w:styleId="148">
    <w:name w:val="页眉 Char1"/>
    <w:basedOn w:val="39"/>
    <w:semiHidden/>
    <w:qFormat/>
    <w:uiPriority w:val="99"/>
    <w:rPr>
      <w:rFonts w:ascii="Times New Roman" w:hAnsi="Times New Roman" w:eastAsia="仿宋_GB2312" w:cs="Times New Roman"/>
      <w:sz w:val="18"/>
      <w:szCs w:val="18"/>
    </w:rPr>
  </w:style>
  <w:style w:type="character" w:customStyle="1" w:styleId="149">
    <w:name w:val="批注文字 Char1"/>
    <w:basedOn w:val="39"/>
    <w:semiHidden/>
    <w:qFormat/>
    <w:uiPriority w:val="99"/>
    <w:rPr>
      <w:rFonts w:ascii="Times New Roman" w:hAnsi="Times New Roman" w:eastAsia="仿宋_GB2312" w:cs="Times New Roman"/>
      <w:sz w:val="24"/>
      <w:szCs w:val="20"/>
    </w:rPr>
  </w:style>
  <w:style w:type="character" w:customStyle="1" w:styleId="150">
    <w:name w:val="批注主题 Char1"/>
    <w:basedOn w:val="149"/>
    <w:semiHidden/>
    <w:qFormat/>
    <w:uiPriority w:val="99"/>
    <w:rPr>
      <w:rFonts w:ascii="Times New Roman" w:hAnsi="Times New Roman" w:eastAsia="仿宋_GB2312" w:cs="Times New Roman"/>
      <w:b/>
      <w:bCs/>
      <w:sz w:val="24"/>
      <w:szCs w:val="20"/>
    </w:rPr>
  </w:style>
  <w:style w:type="character" w:customStyle="1" w:styleId="151">
    <w:name w:val="日期 Char1"/>
    <w:basedOn w:val="39"/>
    <w:semiHidden/>
    <w:qFormat/>
    <w:uiPriority w:val="99"/>
    <w:rPr>
      <w:rFonts w:ascii="Times New Roman" w:hAnsi="Times New Roman" w:eastAsia="仿宋_GB2312" w:cs="Times New Roman"/>
      <w:sz w:val="24"/>
      <w:szCs w:val="20"/>
    </w:rPr>
  </w:style>
  <w:style w:type="character" w:styleId="152">
    <w:name w:val="Placeholder Text"/>
    <w:semiHidden/>
    <w:qFormat/>
    <w:uiPriority w:val="99"/>
    <w:rPr>
      <w:color w:val="808080"/>
    </w:rPr>
  </w:style>
  <w:style w:type="table" w:customStyle="1" w:styleId="153">
    <w:name w:val="网格型1"/>
    <w:basedOn w:val="36"/>
    <w:qFormat/>
    <w:uiPriority w:val="0"/>
    <w:rPr>
      <w:rFonts w:ascii="Calibri" w:hAnsi="Calibri" w:cs="Times New Roman"/>
      <w:color w:val="auto"/>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
    <w:name w:val="浅色底纹1"/>
    <w:basedOn w:val="36"/>
    <w:qFormat/>
    <w:uiPriority w:val="60"/>
    <w:rPr>
      <w:rFonts w:ascii="Calibri" w:hAnsi="Calibri"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55">
    <w:name w:val="clampword3"/>
    <w:qFormat/>
    <w:uiPriority w:val="0"/>
  </w:style>
  <w:style w:type="character" w:customStyle="1" w:styleId="156">
    <w:name w:val="题注 Char"/>
    <w:basedOn w:val="39"/>
    <w:link w:val="14"/>
    <w:qFormat/>
    <w:uiPriority w:val="0"/>
    <w:rPr>
      <w:rFonts w:ascii="Calibri" w:hAnsi="Calibri" w:eastAsia="仿宋_GB2312" w:cs="Arial"/>
      <w:i/>
      <w:iCs/>
      <w:color w:val="323232"/>
      <w:kern w:val="0"/>
      <w:sz w:val="18"/>
      <w:szCs w:val="18"/>
      <w:lang w:eastAsia="ja-JP"/>
    </w:rPr>
  </w:style>
  <w:style w:type="paragraph" w:customStyle="1" w:styleId="157">
    <w:name w:val="图表题"/>
    <w:basedOn w:val="1"/>
    <w:link w:val="158"/>
    <w:qFormat/>
    <w:uiPriority w:val="0"/>
    <w:pPr>
      <w:adjustRightInd w:val="0"/>
      <w:snapToGrid w:val="0"/>
      <w:spacing w:after="50" w:afterLines="50"/>
      <w:jc w:val="center"/>
    </w:pPr>
    <w:rPr>
      <w:rFonts w:eastAsia="黑体" w:cs="Times New Roman"/>
      <w:b/>
      <w:sz w:val="21"/>
      <w:szCs w:val="21"/>
    </w:rPr>
  </w:style>
  <w:style w:type="character" w:customStyle="1" w:styleId="158">
    <w:name w:val="图表题 Char"/>
    <w:basedOn w:val="39"/>
    <w:link w:val="157"/>
    <w:qFormat/>
    <w:uiPriority w:val="0"/>
    <w:rPr>
      <w:rFonts w:eastAsia="黑体" w:cs="Times New Roman"/>
      <w:b/>
      <w:color w:val="auto"/>
      <w:sz w:val="21"/>
      <w:szCs w:val="21"/>
    </w:rPr>
  </w:style>
  <w:style w:type="paragraph" w:customStyle="1" w:styleId="159">
    <w:name w:val="表格标题"/>
    <w:basedOn w:val="1"/>
    <w:link w:val="160"/>
    <w:qFormat/>
    <w:uiPriority w:val="0"/>
    <w:pPr>
      <w:adjustRightInd w:val="0"/>
      <w:snapToGrid w:val="0"/>
      <w:spacing w:before="50" w:beforeLines="50"/>
      <w:jc w:val="center"/>
    </w:pPr>
    <w:rPr>
      <w:rFonts w:eastAsia="黑体" w:cs="Times New Roman"/>
      <w:b/>
      <w:sz w:val="21"/>
    </w:rPr>
  </w:style>
  <w:style w:type="character" w:customStyle="1" w:styleId="160">
    <w:name w:val="表格标题 Char"/>
    <w:basedOn w:val="39"/>
    <w:link w:val="159"/>
    <w:qFormat/>
    <w:uiPriority w:val="0"/>
    <w:rPr>
      <w:rFonts w:eastAsia="黑体" w:cs="Times New Roman"/>
      <w:b/>
      <w:color w:val="auto"/>
      <w:sz w:val="21"/>
    </w:rPr>
  </w:style>
  <w:style w:type="paragraph" w:customStyle="1" w:styleId="161">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62">
    <w:name w:val="font6"/>
    <w:basedOn w:val="1"/>
    <w:qFormat/>
    <w:uiPriority w:val="0"/>
    <w:pPr>
      <w:widowControl/>
      <w:spacing w:before="100" w:beforeAutospacing="1" w:after="100" w:afterAutospacing="1"/>
      <w:jc w:val="left"/>
    </w:pPr>
    <w:rPr>
      <w:rFonts w:cs="Times New Roman"/>
      <w:kern w:val="0"/>
      <w:sz w:val="16"/>
      <w:szCs w:val="16"/>
    </w:rPr>
  </w:style>
  <w:style w:type="paragraph" w:customStyle="1" w:styleId="163">
    <w:name w:val="font7"/>
    <w:basedOn w:val="1"/>
    <w:qFormat/>
    <w:uiPriority w:val="0"/>
    <w:pPr>
      <w:widowControl/>
      <w:spacing w:before="100" w:beforeAutospacing="1" w:after="100" w:afterAutospacing="1"/>
      <w:jc w:val="left"/>
    </w:pPr>
    <w:rPr>
      <w:rFonts w:cs="Times New Roman"/>
      <w:kern w:val="0"/>
      <w:sz w:val="16"/>
      <w:szCs w:val="16"/>
    </w:rPr>
  </w:style>
  <w:style w:type="paragraph" w:customStyle="1" w:styleId="164">
    <w:name w:val="font8"/>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65">
    <w:name w:val="font9"/>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66">
    <w:name w:val="font10"/>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6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rPr>
  </w:style>
  <w:style w:type="paragraph" w:customStyle="1" w:styleId="16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16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rPr>
  </w:style>
  <w:style w:type="paragraph" w:customStyle="1" w:styleId="17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b/>
      <w:bCs/>
      <w:kern w:val="0"/>
      <w:sz w:val="21"/>
      <w:szCs w:val="21"/>
    </w:rPr>
  </w:style>
  <w:style w:type="paragraph" w:customStyle="1" w:styleId="17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b/>
      <w:bCs/>
      <w:kern w:val="0"/>
      <w:sz w:val="21"/>
      <w:szCs w:val="21"/>
    </w:rPr>
  </w:style>
  <w:style w:type="paragraph" w:customStyle="1" w:styleId="17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16"/>
      <w:szCs w:val="16"/>
    </w:rPr>
  </w:style>
  <w:style w:type="paragraph" w:customStyle="1" w:styleId="17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21"/>
      <w:szCs w:val="21"/>
    </w:rPr>
  </w:style>
  <w:style w:type="paragraph" w:customStyle="1" w:styleId="17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7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7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7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7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21"/>
      <w:szCs w:val="21"/>
    </w:rPr>
  </w:style>
  <w:style w:type="paragraph" w:customStyle="1" w:styleId="179">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cs="Times New Roman"/>
      <w:kern w:val="0"/>
      <w:sz w:val="16"/>
      <w:szCs w:val="16"/>
    </w:rPr>
  </w:style>
  <w:style w:type="paragraph" w:customStyle="1" w:styleId="18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8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8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8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8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kern w:val="0"/>
      <w:sz w:val="16"/>
      <w:szCs w:val="16"/>
    </w:rPr>
  </w:style>
  <w:style w:type="paragraph" w:customStyle="1" w:styleId="18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cs="Times New Roman"/>
      <w:kern w:val="0"/>
      <w:sz w:val="16"/>
      <w:szCs w:val="16"/>
    </w:rPr>
  </w:style>
  <w:style w:type="paragraph" w:customStyle="1" w:styleId="18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16"/>
      <w:szCs w:val="16"/>
    </w:rPr>
  </w:style>
  <w:style w:type="paragraph" w:customStyle="1" w:styleId="18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kern w:val="0"/>
      <w:sz w:val="16"/>
      <w:szCs w:val="16"/>
    </w:rPr>
  </w:style>
  <w:style w:type="paragraph" w:customStyle="1" w:styleId="18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kern w:val="0"/>
      <w:sz w:val="16"/>
      <w:szCs w:val="16"/>
    </w:rPr>
  </w:style>
  <w:style w:type="paragraph" w:customStyle="1" w:styleId="18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6"/>
      <w:szCs w:val="16"/>
    </w:rPr>
  </w:style>
  <w:style w:type="paragraph" w:customStyle="1" w:styleId="19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kern w:val="0"/>
      <w:sz w:val="16"/>
      <w:szCs w:val="16"/>
    </w:rPr>
  </w:style>
  <w:style w:type="paragraph" w:customStyle="1" w:styleId="19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6"/>
      <w:szCs w:val="16"/>
    </w:rPr>
  </w:style>
  <w:style w:type="paragraph" w:customStyle="1" w:styleId="19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kern w:val="0"/>
      <w:sz w:val="16"/>
      <w:szCs w:val="16"/>
    </w:rPr>
  </w:style>
  <w:style w:type="paragraph" w:customStyle="1" w:styleId="19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6"/>
      <w:szCs w:val="16"/>
    </w:rPr>
  </w:style>
  <w:style w:type="paragraph" w:customStyle="1" w:styleId="19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rPr>
  </w:style>
  <w:style w:type="paragraph" w:customStyle="1" w:styleId="19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color w:val="000000"/>
      <w:kern w:val="0"/>
      <w:sz w:val="16"/>
      <w:szCs w:val="16"/>
    </w:rPr>
  </w:style>
  <w:style w:type="paragraph" w:customStyle="1" w:styleId="19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color w:val="000000"/>
      <w:kern w:val="0"/>
      <w:sz w:val="16"/>
      <w:szCs w:val="16"/>
    </w:rPr>
  </w:style>
  <w:style w:type="paragraph" w:customStyle="1" w:styleId="19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19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18"/>
      <w:szCs w:val="18"/>
    </w:rPr>
  </w:style>
  <w:style w:type="paragraph" w:customStyle="1" w:styleId="19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b/>
      <w:bCs/>
      <w:kern w:val="0"/>
      <w:sz w:val="16"/>
      <w:szCs w:val="16"/>
    </w:rPr>
  </w:style>
  <w:style w:type="character" w:customStyle="1" w:styleId="200">
    <w:name w:val="正文文本缩进 Char"/>
    <w:basedOn w:val="39"/>
    <w:link w:val="17"/>
    <w:qFormat/>
    <w:uiPriority w:val="0"/>
    <w:rPr>
      <w:rFonts w:ascii="Calibri" w:hAnsi="Calibri" w:cs="Times New Roman"/>
      <w:color w:val="auto"/>
      <w:sz w:val="21"/>
      <w:szCs w:val="22"/>
    </w:rPr>
  </w:style>
  <w:style w:type="table" w:customStyle="1" w:styleId="201">
    <w:name w:val="Table Normal"/>
    <w:semiHidden/>
    <w:unhideWhenUsed/>
    <w:qFormat/>
    <w:uiPriority w:val="2"/>
    <w:pPr>
      <w:widowControl w:val="0"/>
      <w:autoSpaceDE w:val="0"/>
      <w:autoSpaceDN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character" w:customStyle="1" w:styleId="202">
    <w:name w:val="HTML 预设格式 Char"/>
    <w:basedOn w:val="39"/>
    <w:link w:val="31"/>
    <w:qFormat/>
    <w:uiPriority w:val="0"/>
    <w:rPr>
      <w:rFonts w:ascii="Courier New" w:hAnsi="Courier New" w:cs="Courier New" w:eastAsiaTheme="minorEastAsia"/>
      <w:color w:val="auto"/>
      <w:szCs w:val="20"/>
    </w:rPr>
  </w:style>
  <w:style w:type="paragraph" w:customStyle="1" w:styleId="203">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s="Times New Roman"/>
      <w:color w:val="000000"/>
      <w:kern w:val="0"/>
      <w:sz w:val="21"/>
      <w:szCs w:val="21"/>
    </w:rPr>
  </w:style>
  <w:style w:type="paragraph" w:customStyle="1" w:styleId="204">
    <w:name w:val="Table Paragraph"/>
    <w:basedOn w:val="1"/>
    <w:unhideWhenUsed/>
    <w:qFormat/>
    <w:uiPriority w:val="1"/>
    <w:pPr>
      <w:jc w:val="center"/>
    </w:pPr>
    <w:rPr>
      <w:rFonts w:hint="eastAsia" w:ascii="Calibri" w:hAnsi="Calibri" w:cs="Times New Roman"/>
      <w:sz w:val="22"/>
      <w:szCs w:val="22"/>
    </w:rPr>
  </w:style>
  <w:style w:type="table" w:customStyle="1" w:styleId="205">
    <w:name w:val="Table Normal1"/>
    <w:semiHidden/>
    <w:unhideWhenUsed/>
    <w:qFormat/>
    <w:uiPriority w:val="2"/>
    <w:pPr>
      <w:widowControl w:val="0"/>
      <w:autoSpaceDE w:val="0"/>
      <w:autoSpaceDN w:val="0"/>
    </w:pPr>
    <w:rPr>
      <w:rFonts w:cs="Times New Roman"/>
      <w:color w:val="auto"/>
      <w:kern w:val="0"/>
      <w:sz w:val="22"/>
      <w:szCs w:val="22"/>
      <w:lang w:eastAsia="en-US"/>
    </w:rPr>
    <w:tblPr>
      <w:tblCellMar>
        <w:top w:w="0" w:type="dxa"/>
        <w:left w:w="0" w:type="dxa"/>
        <w:bottom w:w="0" w:type="dxa"/>
        <w:right w:w="0" w:type="dxa"/>
      </w:tblCellMar>
    </w:tblPr>
  </w:style>
  <w:style w:type="table" w:customStyle="1" w:styleId="206">
    <w:name w:val="Table Normal2"/>
    <w:semiHidden/>
    <w:unhideWhenUsed/>
    <w:qFormat/>
    <w:uiPriority w:val="2"/>
    <w:pPr>
      <w:widowControl w:val="0"/>
      <w:autoSpaceDE w:val="0"/>
      <w:autoSpaceDN w:val="0"/>
    </w:pPr>
    <w:rPr>
      <w:rFonts w:cs="Times New Roman"/>
      <w:color w:val="auto"/>
      <w:kern w:val="0"/>
      <w:sz w:val="22"/>
      <w:szCs w:val="22"/>
      <w:lang w:eastAsia="en-US"/>
    </w:rPr>
    <w:tblPr>
      <w:tblCellMar>
        <w:top w:w="0" w:type="dxa"/>
        <w:left w:w="0" w:type="dxa"/>
        <w:bottom w:w="0" w:type="dxa"/>
        <w:right w:w="0" w:type="dxa"/>
      </w:tblCellMar>
    </w:tblPr>
  </w:style>
  <w:style w:type="table" w:customStyle="1" w:styleId="207">
    <w:name w:val="Table Normal3"/>
    <w:semiHidden/>
    <w:unhideWhenUsed/>
    <w:qFormat/>
    <w:uiPriority w:val="2"/>
    <w:pPr>
      <w:widowControl w:val="0"/>
      <w:autoSpaceDE w:val="0"/>
      <w:autoSpaceDN w:val="0"/>
    </w:pPr>
    <w:rPr>
      <w:rFonts w:cs="Times New Roman"/>
      <w:color w:val="auto"/>
      <w:kern w:val="0"/>
      <w:sz w:val="22"/>
      <w:szCs w:val="22"/>
      <w:lang w:eastAsia="en-US"/>
    </w:rPr>
    <w:tblPr>
      <w:tblCellMar>
        <w:top w:w="0" w:type="dxa"/>
        <w:left w:w="0" w:type="dxa"/>
        <w:bottom w:w="0" w:type="dxa"/>
        <w:right w:w="0" w:type="dxa"/>
      </w:tblCellMar>
    </w:tblPr>
  </w:style>
  <w:style w:type="table" w:customStyle="1" w:styleId="208">
    <w:name w:val="Table Normal4"/>
    <w:semiHidden/>
    <w:unhideWhenUsed/>
    <w:qFormat/>
    <w:uiPriority w:val="2"/>
    <w:pPr>
      <w:widowControl w:val="0"/>
      <w:autoSpaceDE w:val="0"/>
      <w:autoSpaceDN w:val="0"/>
    </w:pPr>
    <w:rPr>
      <w:rFonts w:cs="Times New Roman"/>
      <w:color w:val="auto"/>
      <w:kern w:val="0"/>
      <w:sz w:val="22"/>
      <w:szCs w:val="22"/>
      <w:lang w:eastAsia="en-US"/>
    </w:rPr>
    <w:tblPr>
      <w:tblCellMar>
        <w:top w:w="0" w:type="dxa"/>
        <w:left w:w="0" w:type="dxa"/>
        <w:bottom w:w="0" w:type="dxa"/>
        <w:right w:w="0" w:type="dxa"/>
      </w:tblCellMar>
    </w:tblPr>
  </w:style>
  <w:style w:type="table" w:customStyle="1" w:styleId="209">
    <w:name w:val="Table Normal5"/>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table" w:customStyle="1" w:styleId="210">
    <w:name w:val="Table Normal6"/>
    <w:semiHidden/>
    <w:unhideWhenUsed/>
    <w:qFormat/>
    <w:uiPriority w:val="2"/>
    <w:pPr>
      <w:widowControl w:val="0"/>
    </w:pPr>
    <w:rPr>
      <w:rFonts w:asciiTheme="minorHAnsi" w:hAnsiTheme="minorHAnsi" w:eastAsiaTheme="minorEastAsia" w:cstheme="minorBidi"/>
      <w:color w:val="auto"/>
      <w:kern w:val="0"/>
      <w:sz w:val="22"/>
      <w:szCs w:val="22"/>
      <w:lang w:eastAsia="en-US"/>
    </w:rPr>
    <w:tblPr>
      <w:tblCellMar>
        <w:top w:w="0" w:type="dxa"/>
        <w:left w:w="0" w:type="dxa"/>
        <w:bottom w:w="0" w:type="dxa"/>
        <w:right w:w="0" w:type="dxa"/>
      </w:tblCellMar>
    </w:tblPr>
  </w:style>
  <w:style w:type="table" w:customStyle="1" w:styleId="211">
    <w:name w:val="Table Normal7"/>
    <w:semiHidden/>
    <w:unhideWhenUsed/>
    <w:qFormat/>
    <w:uiPriority w:val="2"/>
    <w:pPr>
      <w:widowControl w:val="0"/>
    </w:pPr>
    <w:rPr>
      <w:rFonts w:asciiTheme="minorHAnsi" w:hAnsiTheme="minorHAnsi" w:eastAsiaTheme="minorEastAsia" w:cstheme="minorBidi"/>
      <w:color w:val="auto"/>
      <w:kern w:val="0"/>
      <w:sz w:val="22"/>
      <w:szCs w:val="22"/>
      <w:lang w:eastAsia="en-US"/>
    </w:rPr>
    <w:tblPr>
      <w:tblCellMar>
        <w:top w:w="0" w:type="dxa"/>
        <w:left w:w="0" w:type="dxa"/>
        <w:bottom w:w="0" w:type="dxa"/>
        <w:right w:w="0" w:type="dxa"/>
      </w:tblCellMar>
    </w:tblPr>
  </w:style>
  <w:style w:type="table" w:customStyle="1" w:styleId="212">
    <w:name w:val="Table Normal8"/>
    <w:semiHidden/>
    <w:unhideWhenUsed/>
    <w:qFormat/>
    <w:uiPriority w:val="2"/>
    <w:pPr>
      <w:widowControl w:val="0"/>
    </w:pPr>
    <w:rPr>
      <w:rFonts w:asciiTheme="minorHAnsi" w:hAnsiTheme="minorHAnsi" w:eastAsiaTheme="minorEastAsia" w:cstheme="minorBidi"/>
      <w:color w:val="auto"/>
      <w:kern w:val="0"/>
      <w:sz w:val="22"/>
      <w:szCs w:val="22"/>
      <w:lang w:eastAsia="en-US"/>
    </w:rPr>
    <w:tblPr>
      <w:tblCellMar>
        <w:top w:w="0" w:type="dxa"/>
        <w:left w:w="0" w:type="dxa"/>
        <w:bottom w:w="0" w:type="dxa"/>
        <w:right w:w="0" w:type="dxa"/>
      </w:tblCellMar>
    </w:tblPr>
  </w:style>
  <w:style w:type="table" w:customStyle="1" w:styleId="213">
    <w:name w:val="Table Normal9"/>
    <w:semiHidden/>
    <w:unhideWhenUsed/>
    <w:qFormat/>
    <w:uiPriority w:val="2"/>
    <w:pPr>
      <w:widowControl w:val="0"/>
    </w:pPr>
    <w:rPr>
      <w:rFonts w:asciiTheme="minorHAnsi" w:hAnsiTheme="minorHAnsi" w:eastAsiaTheme="minorEastAsia" w:cstheme="minorBidi"/>
      <w:color w:val="auto"/>
      <w:kern w:val="0"/>
      <w:sz w:val="22"/>
      <w:szCs w:val="22"/>
      <w:lang w:eastAsia="en-US"/>
    </w:rPr>
    <w:tblPr>
      <w:tblCellMar>
        <w:top w:w="0" w:type="dxa"/>
        <w:left w:w="0" w:type="dxa"/>
        <w:bottom w:w="0" w:type="dxa"/>
        <w:right w:w="0" w:type="dxa"/>
      </w:tblCellMar>
    </w:tblPr>
  </w:style>
  <w:style w:type="table" w:customStyle="1" w:styleId="214">
    <w:name w:val="Table Normal10"/>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table" w:customStyle="1" w:styleId="215">
    <w:name w:val="Table Normal11"/>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table" w:customStyle="1" w:styleId="216">
    <w:name w:val="Table Normal12"/>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table" w:customStyle="1" w:styleId="217">
    <w:name w:val="Table Normal13"/>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table" w:customStyle="1" w:styleId="218">
    <w:name w:val="Table Normal14"/>
    <w:semiHidden/>
    <w:unhideWhenUsed/>
    <w:qFormat/>
    <w:uiPriority w:val="2"/>
    <w:pPr>
      <w:widowControl w:val="0"/>
    </w:pPr>
    <w:rPr>
      <w:rFonts w:ascii="Calibri" w:hAnsi="Calibri" w:cs="Times New Roman"/>
      <w:color w:val="auto"/>
      <w:kern w:val="0"/>
      <w:sz w:val="22"/>
      <w:szCs w:val="22"/>
      <w:lang w:eastAsia="en-US"/>
    </w:rPr>
    <w:tblPr>
      <w:tblCellMar>
        <w:top w:w="0" w:type="dxa"/>
        <w:left w:w="0" w:type="dxa"/>
        <w:bottom w:w="0" w:type="dxa"/>
        <w:right w:w="0" w:type="dxa"/>
      </w:tblCellMar>
    </w:tblPr>
  </w:style>
  <w:style w:type="character" w:customStyle="1" w:styleId="219">
    <w:name w:val="表格 Char"/>
    <w:link w:val="220"/>
    <w:qFormat/>
    <w:locked/>
    <w:uiPriority w:val="0"/>
    <w:rPr>
      <w:rFonts w:ascii="宋体" w:hAnsi="宋体"/>
    </w:rPr>
  </w:style>
  <w:style w:type="paragraph" w:customStyle="1" w:styleId="220">
    <w:name w:val="表格"/>
    <w:basedOn w:val="1"/>
    <w:link w:val="219"/>
    <w:qFormat/>
    <w:uiPriority w:val="0"/>
    <w:pPr>
      <w:spacing w:before="50" w:after="50"/>
      <w:jc w:val="center"/>
    </w:pPr>
    <w:rPr>
      <w:rFonts w:ascii="宋体" w:hAnsi="宋体"/>
      <w:color w:val="FF0000"/>
    </w:rPr>
  </w:style>
  <w:style w:type="paragraph" w:customStyle="1" w:styleId="221">
    <w:name w:val="表格1"/>
    <w:basedOn w:val="1"/>
    <w:qFormat/>
    <w:uiPriority w:val="0"/>
    <w:pPr>
      <w:adjustRightInd w:val="0"/>
      <w:snapToGrid w:val="0"/>
      <w:spacing w:line="480" w:lineRule="exact"/>
    </w:pPr>
    <w:rPr>
      <w:rFonts w:cs="Times New Roman"/>
    </w:rPr>
  </w:style>
  <w:style w:type="paragraph" w:customStyle="1" w:styleId="222">
    <w:name w:val="p0"/>
    <w:basedOn w:val="1"/>
    <w:qFormat/>
    <w:uiPriority w:val="0"/>
    <w:pPr>
      <w:widowControl/>
    </w:pPr>
    <w:rPr>
      <w:rFonts w:cs="Times New Roman"/>
      <w:kern w:val="0"/>
      <w:sz w:val="21"/>
      <w:szCs w:val="21"/>
    </w:rPr>
  </w:style>
  <w:style w:type="character" w:customStyle="1" w:styleId="223">
    <w:name w:val="正文缩进 Char"/>
    <w:link w:val="5"/>
    <w:qFormat/>
    <w:uiPriority w:val="0"/>
    <w:rPr>
      <w:rFonts w:eastAsia="仿宋_GB2312" w:cstheme="minorBidi"/>
      <w:color w:val="auto"/>
      <w:kern w:val="0"/>
      <w:szCs w:val="20"/>
    </w:rPr>
  </w:style>
  <w:style w:type="paragraph" w:customStyle="1" w:styleId="224">
    <w:name w:val="正文（3仿）"/>
    <w:semiHidden/>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225">
    <w:name w:val="表头"/>
    <w:basedOn w:val="1"/>
    <w:qFormat/>
    <w:uiPriority w:val="0"/>
    <w:pPr>
      <w:widowControl/>
      <w:spacing w:line="320" w:lineRule="atLeast"/>
      <w:jc w:val="center"/>
    </w:pPr>
    <w:rPr>
      <w:rFonts w:ascii="宋体" w:hAnsi="宋体" w:eastAsia="黑体"/>
      <w:spacing w:val="-10"/>
      <w:kern w:val="0"/>
      <w:sz w:val="24"/>
      <w:szCs w:val="11"/>
    </w:rPr>
  </w:style>
  <w:style w:type="paragraph" w:customStyle="1" w:styleId="226">
    <w:name w:val="正文1"/>
    <w:basedOn w:val="1"/>
    <w:qFormat/>
    <w:uiPriority w:val="0"/>
    <w:pPr>
      <w:adjustRightInd w:val="0"/>
      <w:spacing w:line="500" w:lineRule="exact"/>
      <w:ind w:firstLine="567"/>
    </w:pPr>
    <w:rPr>
      <w:sz w:val="28"/>
      <w:szCs w:val="20"/>
    </w:rPr>
  </w:style>
  <w:style w:type="paragraph" w:customStyle="1" w:styleId="227">
    <w:name w:val="样式 标题 4H4CharbulletblbbPIM 4h4Heading Four款标题1.1.1.1Fa..."/>
    <w:basedOn w:val="7"/>
    <w:qFormat/>
    <w:uiPriority w:val="0"/>
    <w:pPr>
      <w:widowControl/>
      <w:spacing w:before="60" w:after="60" w:line="500" w:lineRule="exact"/>
    </w:pPr>
    <w:rPr>
      <w:rFonts w:ascii="Times New Roman" w:hAnsi="Times New Roman" w:eastAsia="宋体"/>
      <w:color w:val="000000"/>
      <w:kern w:val="0"/>
      <w:sz w:val="30"/>
      <w:szCs w:val="30"/>
    </w:rPr>
  </w:style>
  <w:style w:type="paragraph" w:customStyle="1" w:styleId="228">
    <w:name w:val="报告书表格"/>
    <w:basedOn w:val="1"/>
    <w:qFormat/>
    <w:uiPriority w:val="0"/>
    <w:pPr>
      <w:adjustRightInd w:val="0"/>
      <w:spacing w:line="400" w:lineRule="exact"/>
      <w:jc w:val="center"/>
      <w:textAlignment w:val="baseline"/>
    </w:pPr>
    <w:rPr>
      <w:rFonts w:eastAsia="仿宋_GB2312"/>
      <w:kern w:val="0"/>
      <w:sz w:val="24"/>
      <w:szCs w:val="20"/>
    </w:rPr>
  </w:style>
  <w:style w:type="paragraph" w:customStyle="1" w:styleId="229">
    <w:name w:val="低行距图表文字"/>
    <w:basedOn w:val="230"/>
    <w:qFormat/>
    <w:uiPriority w:val="0"/>
    <w:pPr>
      <w:widowControl w:val="0"/>
      <w:spacing w:line="240" w:lineRule="exact"/>
    </w:pPr>
    <w:rPr>
      <w:rFonts w:cs="Times New Roman"/>
      <w:kern w:val="2"/>
      <w:sz w:val="21"/>
      <w:szCs w:val="21"/>
      <w:lang w:bidi="ar-SA"/>
    </w:rPr>
  </w:style>
  <w:style w:type="paragraph" w:customStyle="1" w:styleId="230">
    <w:name w:val="图表文字"/>
    <w:basedOn w:val="1"/>
    <w:qFormat/>
    <w:uiPriority w:val="0"/>
    <w:pPr>
      <w:widowControl/>
      <w:jc w:val="center"/>
    </w:pPr>
    <w:rPr>
      <w:rFonts w:ascii="仿宋_GB2312" w:eastAsia="仿宋_GB2312"/>
      <w:kern w:val="0"/>
      <w:sz w:val="24"/>
    </w:rPr>
  </w:style>
  <w:style w:type="paragraph" w:customStyle="1" w:styleId="231">
    <w:name w:val="标准"/>
    <w:basedOn w:val="1"/>
    <w:qFormat/>
    <w:uiPriority w:val="0"/>
    <w:pPr>
      <w:adjustRightInd w:val="0"/>
      <w:spacing w:line="312" w:lineRule="atLeast"/>
      <w:textAlignment w:val="baseline"/>
    </w:pPr>
    <w:rPr>
      <w:kern w:val="0"/>
      <w:sz w:val="24"/>
      <w:szCs w:val="20"/>
    </w:rPr>
  </w:style>
  <w:style w:type="paragraph" w:customStyle="1" w:styleId="232">
    <w:name w:val="表"/>
    <w:basedOn w:val="1"/>
    <w:qFormat/>
    <w:uiPriority w:val="0"/>
    <w:pPr>
      <w:adjustRightInd w:val="0"/>
      <w:spacing w:line="360" w:lineRule="auto"/>
      <w:jc w:val="center"/>
      <w:textAlignment w:val="baseline"/>
    </w:pPr>
    <w:rPr>
      <w:sz w:val="24"/>
      <w:szCs w:val="20"/>
    </w:rPr>
  </w:style>
  <w:style w:type="paragraph" w:customStyle="1" w:styleId="233">
    <w:name w:val="谏壁正文chen"/>
    <w:basedOn w:val="1"/>
    <w:qFormat/>
    <w:uiPriority w:val="0"/>
    <w:pPr>
      <w:spacing w:line="360" w:lineRule="auto"/>
      <w:ind w:firstLine="200" w:firstLineChars="200"/>
    </w:pPr>
    <w:rPr>
      <w:rFonts w:ascii="宋体" w:hAnsi="宋体"/>
      <w:sz w:val="24"/>
    </w:rPr>
  </w:style>
  <w:style w:type="paragraph" w:customStyle="1" w:styleId="234">
    <w:name w:val="表格字体"/>
    <w:basedOn w:val="1"/>
    <w:next w:val="1"/>
    <w:qFormat/>
    <w:uiPriority w:val="0"/>
    <w:pPr>
      <w:adjustRightInd w:val="0"/>
      <w:snapToGrid w:val="0"/>
      <w:spacing w:before="62" w:beforeLines="20" w:after="62" w:afterLines="20"/>
      <w:ind w:right="42" w:rightChars="20"/>
      <w:jc w:val="center"/>
    </w:pPr>
    <w:rPr>
      <w:rFonts w:ascii="Times New Roman" w:hAnsi="Times New Roman" w:eastAsia="宋体" w:cs="Times New Roman"/>
      <w:snapToGrid w:val="0"/>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emf"/><Relationship Id="rId34" Type="http://schemas.openxmlformats.org/officeDocument/2006/relationships/oleObject" Target="embeddings/oleObject5.bin"/><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emf"/><Relationship Id="rId26" Type="http://schemas.openxmlformats.org/officeDocument/2006/relationships/oleObject" Target="embeddings/oleObject4.bin"/><Relationship Id="rId25" Type="http://schemas.openxmlformats.org/officeDocument/2006/relationships/image" Target="media/image7.emf"/><Relationship Id="rId24" Type="http://schemas.openxmlformats.org/officeDocument/2006/relationships/oleObject" Target="embeddings/oleObject3.bin"/><Relationship Id="rId23" Type="http://schemas.openxmlformats.org/officeDocument/2006/relationships/image" Target="media/image6.emf"/><Relationship Id="rId22" Type="http://schemas.openxmlformats.org/officeDocument/2006/relationships/oleObject" Target="embeddings/oleObject2.bin"/><Relationship Id="rId21" Type="http://schemas.openxmlformats.org/officeDocument/2006/relationships/image" Target="media/image5.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3FA52-732F-4A81-86CD-46CB639A100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141</Pages>
  <Words>12338</Words>
  <Characters>70331</Characters>
  <Lines>586</Lines>
  <Paragraphs>165</Paragraphs>
  <TotalTime>12</TotalTime>
  <ScaleCrop>false</ScaleCrop>
  <LinksUpToDate>false</LinksUpToDate>
  <CharactersWithSpaces>82504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2018-03-22T09:16:00Z</dcterms:created>
  <dc:creator>123</dc:creator>
  <cp:lastModifiedBy>陈金秋</cp:lastModifiedBy>
  <cp:lastPrinted>2019-11-07T08:08:00Z</cp:lastPrinted>
  <dcterms:modified xsi:type="dcterms:W3CDTF">2020-10-12T04:36:47Z</dcterms:modified>
  <cp:revision>837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